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11" w:rsidRPr="00CB2E36" w:rsidRDefault="009E1E11" w:rsidP="009E1E11">
      <w:pPr>
        <w:ind w:firstLine="708"/>
        <w:jc w:val="center"/>
        <w:rPr>
          <w:b/>
          <w:bCs/>
          <w:i/>
          <w:sz w:val="28"/>
          <w:szCs w:val="28"/>
          <w:lang w:val="uk-UA"/>
        </w:rPr>
      </w:pPr>
      <w:r w:rsidRPr="00CB2E36">
        <w:rPr>
          <w:b/>
          <w:bCs/>
          <w:i/>
          <w:sz w:val="28"/>
          <w:szCs w:val="28"/>
          <w:lang w:val="uk-UA"/>
        </w:rPr>
        <w:t>Методи контролю</w:t>
      </w:r>
    </w:p>
    <w:p w:rsidR="009E1E11" w:rsidRPr="00CB2E36" w:rsidRDefault="009E1E11" w:rsidP="009E1E11">
      <w:pPr>
        <w:ind w:left="142" w:firstLine="567"/>
        <w:jc w:val="center"/>
        <w:rPr>
          <w:b/>
          <w:sz w:val="28"/>
          <w:szCs w:val="28"/>
          <w:lang w:val="uk-UA"/>
        </w:rPr>
      </w:pP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Контроль знань, набутих в процесі вивчення навчальної дисципліни «</w:t>
      </w:r>
      <w:r w:rsidR="00F52D31">
        <w:rPr>
          <w:sz w:val="28"/>
          <w:szCs w:val="28"/>
          <w:lang w:val="uk-UA"/>
        </w:rPr>
        <w:t>Економічний аналіз (загальна теорія)</w:t>
      </w:r>
      <w:r w:rsidRPr="00CB2E36">
        <w:rPr>
          <w:sz w:val="28"/>
          <w:szCs w:val="28"/>
          <w:lang w:val="uk-UA"/>
        </w:rPr>
        <w:t>», відбувається у формі усного опитування, письмових контрольних робіт та підсумкового письмового екзамену. Оцінювання усних відповіде</w:t>
      </w:r>
      <w:bookmarkStart w:id="0" w:name="_GoBack"/>
      <w:r w:rsidRPr="00CB2E36">
        <w:rPr>
          <w:sz w:val="28"/>
          <w:szCs w:val="28"/>
          <w:lang w:val="uk-UA"/>
        </w:rPr>
        <w:t>й</w:t>
      </w:r>
      <w:bookmarkEnd w:id="0"/>
      <w:r w:rsidRPr="00CB2E36">
        <w:rPr>
          <w:sz w:val="28"/>
          <w:szCs w:val="28"/>
          <w:lang w:val="uk-UA"/>
        </w:rPr>
        <w:t xml:space="preserve"> та контрольних робіт студента (студентки) відбувається за чотирибальною системою: „незадовільно” (позначається цифрою ”</w:t>
      </w:r>
      <w:smartTag w:uri="urn:schemas-microsoft-com:office:smarttags" w:element="metricconverter">
        <w:smartTagPr>
          <w:attr w:name="ProductID" w:val="2”"/>
        </w:smartTagPr>
        <w:r w:rsidRPr="00CB2E36">
          <w:rPr>
            <w:sz w:val="28"/>
            <w:szCs w:val="28"/>
            <w:lang w:val="uk-UA"/>
          </w:rPr>
          <w:t>2”</w:t>
        </w:r>
      </w:smartTag>
      <w:r w:rsidRPr="00CB2E36">
        <w:rPr>
          <w:sz w:val="28"/>
          <w:szCs w:val="28"/>
          <w:lang w:val="uk-UA"/>
        </w:rPr>
        <w:t>), „задовільно” („3”), “добре” („4”) та “відмінно” („5”).</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«відмінно» заслуговує студент (студентка), який (яка) виявив (виявила) всебічні, системні й глибокі знання навчального матеріалу і вміння вільно виконувати передбачені програмою завдання, ознайомлений (ознайомлена) з основною і додатковою літературою. Зазвичай, оцінка «відмінно» ставиться студентам, які засвоїли основні поняття та принципи сучасної економічної теорії, вільно оперують економічними категоріями та інтерпретують графічні економічні моделі, усвідомлюють зв’язки між основними економічними явищами та процесами, творчо та коректно використо</w:t>
      </w:r>
      <w:r w:rsidRPr="00CB2E36">
        <w:rPr>
          <w:sz w:val="28"/>
          <w:szCs w:val="28"/>
          <w:lang w:val="uk-UA"/>
        </w:rPr>
        <w:softHyphen/>
        <w:t>вують їх при розв'язанні задач.</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«добре» заслуговує студент (студентка), який (яка) виявив (виявила) повне знання навчального матеріалу, успішно виконав (виконала) передбачені програмою завдання, засвоїв (засвоїла) рекомендовану основну літературу. Як правило, оцінка «добре» виставляється студентам, які засвідчили системні знання понять та принципів економічної теорії і здатні до їх самостійного поповнення та оновлення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завдань,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теорії економічного аналізу або їх недостатньо для продовження навчання чи початку професійної діяльності.</w:t>
      </w:r>
    </w:p>
    <w:p w:rsidR="009E1E11" w:rsidRPr="00CB2E36" w:rsidRDefault="009E1E11" w:rsidP="009E1E11">
      <w:pPr>
        <w:pStyle w:val="21"/>
        <w:spacing w:after="0" w:line="240" w:lineRule="auto"/>
        <w:ind w:left="0" w:firstLine="284"/>
        <w:jc w:val="both"/>
        <w:rPr>
          <w:sz w:val="28"/>
          <w:szCs w:val="28"/>
          <w:lang w:val="uk-UA"/>
        </w:rPr>
      </w:pPr>
      <w:r w:rsidRPr="00CB2E36">
        <w:rPr>
          <w:sz w:val="28"/>
          <w:szCs w:val="28"/>
          <w:lang w:val="uk-UA"/>
        </w:rPr>
        <w:t>Невмотивований пропуск практичного заняття тягне за собою виставлення за нього негативної оцінки. Екзамен – письмовий. Екзаменаційний білет складається із 30 тестових завдань різного рівня складності.</w:t>
      </w:r>
    </w:p>
    <w:p w:rsidR="009E1E11" w:rsidRPr="00B50AC3" w:rsidRDefault="009E1E11" w:rsidP="009E1E11">
      <w:pPr>
        <w:jc w:val="center"/>
        <w:rPr>
          <w:b/>
          <w:sz w:val="28"/>
          <w:szCs w:val="28"/>
        </w:rPr>
      </w:pPr>
      <w:r w:rsidRPr="00CB2E36">
        <w:rPr>
          <w:b/>
          <w:sz w:val="28"/>
          <w:szCs w:val="28"/>
          <w:lang w:val="uk-UA"/>
        </w:rPr>
        <w:t xml:space="preserve">                  </w:t>
      </w:r>
    </w:p>
    <w:p w:rsidR="009E1E11" w:rsidRPr="00115BE2" w:rsidRDefault="009E1E11" w:rsidP="009E1E11">
      <w:pPr>
        <w:jc w:val="center"/>
        <w:rPr>
          <w:b/>
          <w:bCs/>
          <w:i/>
          <w:sz w:val="28"/>
          <w:szCs w:val="28"/>
          <w:lang w:val="uk-UA"/>
        </w:rPr>
      </w:pPr>
      <w:r w:rsidRPr="00115BE2">
        <w:rPr>
          <w:b/>
          <w:bCs/>
          <w:i/>
          <w:sz w:val="28"/>
          <w:szCs w:val="28"/>
          <w:lang w:val="uk-UA"/>
        </w:rPr>
        <w:t xml:space="preserve"> Розподіл балів, що присвоюється студентам</w:t>
      </w:r>
    </w:p>
    <w:p w:rsidR="009E1E11" w:rsidRPr="00CB2E36" w:rsidRDefault="009E1E11" w:rsidP="009E1E11">
      <w:pPr>
        <w:ind w:left="142" w:firstLine="425"/>
        <w:jc w:val="center"/>
        <w:rPr>
          <w:b/>
          <w:sz w:val="28"/>
          <w:szCs w:val="28"/>
          <w:lang w:val="uk-UA"/>
        </w:rPr>
      </w:pPr>
      <w:r w:rsidRPr="00115BE2">
        <w:rPr>
          <w:b/>
          <w:sz w:val="28"/>
          <w:szCs w:val="28"/>
          <w:lang w:val="uk-UA"/>
        </w:rPr>
        <w:t xml:space="preserve">                                                            </w:t>
      </w:r>
    </w:p>
    <w:p w:rsidR="009E1E11" w:rsidRPr="00CB2E36" w:rsidRDefault="009E1E11" w:rsidP="009E1E11">
      <w:pPr>
        <w:widowControl w:val="0"/>
        <w:autoSpaceDE w:val="0"/>
        <w:autoSpaceDN w:val="0"/>
        <w:adjustRightInd w:val="0"/>
        <w:spacing w:after="120"/>
        <w:ind w:firstLine="709"/>
        <w:jc w:val="both"/>
        <w:rPr>
          <w:sz w:val="28"/>
          <w:szCs w:val="28"/>
          <w:lang w:val="uk-UA"/>
        </w:rPr>
      </w:pPr>
      <w:r w:rsidRPr="00CB2E36">
        <w:rPr>
          <w:sz w:val="28"/>
          <w:szCs w:val="28"/>
          <w:lang w:val="uk-UA"/>
        </w:rPr>
        <w:t xml:space="preserve">Оцінювання знань студентів здійснюється за 100-бальною шкалою. </w:t>
      </w:r>
      <w:r w:rsidRPr="00CB2E36">
        <w:rPr>
          <w:sz w:val="28"/>
          <w:szCs w:val="28"/>
          <w:lang w:val="uk-UA"/>
        </w:rPr>
        <w:lastRenderedPageBreak/>
        <w:t>Підсумкова оцінка на основі суми балів, отриманих студентом (студенткою) за виконані впродовж семестру контрольні роботи та за екзаменаційну роботу. Нарахування балів за кожен із видів робіт здійснюється у відповідності із принципами, викладеними нижче.</w:t>
      </w:r>
    </w:p>
    <w:tbl>
      <w:tblPr>
        <w:tblW w:w="8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29"/>
        <w:gridCol w:w="529"/>
        <w:gridCol w:w="542"/>
        <w:gridCol w:w="542"/>
        <w:gridCol w:w="542"/>
        <w:gridCol w:w="543"/>
        <w:gridCol w:w="670"/>
        <w:gridCol w:w="670"/>
        <w:gridCol w:w="1788"/>
        <w:gridCol w:w="845"/>
      </w:tblGrid>
      <w:tr w:rsidR="009E1E11" w:rsidRPr="00CB2E36" w:rsidTr="00C27CB2">
        <w:trPr>
          <w:cantSplit/>
        </w:trPr>
        <w:tc>
          <w:tcPr>
            <w:tcW w:w="5941" w:type="dxa"/>
            <w:gridSpan w:val="10"/>
          </w:tcPr>
          <w:p w:rsidR="009E1E11" w:rsidRPr="00CB2E36" w:rsidRDefault="009E1E11" w:rsidP="00C27CB2">
            <w:pPr>
              <w:jc w:val="center"/>
              <w:rPr>
                <w:sz w:val="28"/>
                <w:szCs w:val="28"/>
                <w:lang w:val="uk-UA"/>
              </w:rPr>
            </w:pPr>
            <w:r w:rsidRPr="00CB2E36">
              <w:rPr>
                <w:sz w:val="28"/>
                <w:szCs w:val="28"/>
                <w:lang w:val="uk-UA"/>
              </w:rPr>
              <w:t>Поточний контроль та самостійна робота</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Підсумковий екзамен</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Сума</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Змістовий модуль №1</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2</w:t>
            </w:r>
          </w:p>
        </w:tc>
        <w:tc>
          <w:tcPr>
            <w:tcW w:w="197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3</w:t>
            </w:r>
          </w:p>
        </w:tc>
        <w:tc>
          <w:tcPr>
            <w:tcW w:w="1564" w:type="dxa"/>
            <w:vMerge/>
          </w:tcPr>
          <w:p w:rsidR="009E1E11" w:rsidRPr="00CB2E36" w:rsidRDefault="009E1E11" w:rsidP="00C27CB2">
            <w:pPr>
              <w:jc w:val="center"/>
              <w:rPr>
                <w:sz w:val="28"/>
                <w:szCs w:val="28"/>
                <w:lang w:val="uk-UA"/>
              </w:rPr>
            </w:pPr>
          </w:p>
        </w:tc>
        <w:tc>
          <w:tcPr>
            <w:tcW w:w="755" w:type="dxa"/>
            <w:vMerge/>
          </w:tcPr>
          <w:p w:rsidR="009E1E11" w:rsidRPr="00CB2E36" w:rsidRDefault="009E1E11" w:rsidP="00C27CB2">
            <w:pPr>
              <w:jc w:val="center"/>
              <w:rPr>
                <w:sz w:val="28"/>
                <w:szCs w:val="28"/>
                <w:lang w:val="uk-UA"/>
              </w:rPr>
            </w:pPr>
          </w:p>
        </w:tc>
      </w:tr>
      <w:tr w:rsidR="009E1E11" w:rsidRPr="00CB2E36" w:rsidTr="00C27CB2">
        <w:trPr>
          <w:cantSplit/>
        </w:trPr>
        <w:tc>
          <w:tcPr>
            <w:tcW w:w="535" w:type="dxa"/>
          </w:tcPr>
          <w:p w:rsidR="009E1E11" w:rsidRPr="00CB2E36" w:rsidRDefault="009E1E11" w:rsidP="00C27CB2">
            <w:pPr>
              <w:jc w:val="center"/>
              <w:rPr>
                <w:sz w:val="28"/>
                <w:szCs w:val="28"/>
                <w:lang w:val="uk-UA"/>
              </w:rPr>
            </w:pPr>
            <w:r w:rsidRPr="00CB2E36">
              <w:rPr>
                <w:sz w:val="28"/>
                <w:szCs w:val="28"/>
                <w:lang w:val="uk-UA"/>
              </w:rPr>
              <w:t>Т1</w:t>
            </w:r>
          </w:p>
        </w:tc>
        <w:tc>
          <w:tcPr>
            <w:tcW w:w="536" w:type="dxa"/>
          </w:tcPr>
          <w:p w:rsidR="009E1E11" w:rsidRPr="00CB2E36" w:rsidRDefault="009E1E11" w:rsidP="00C27CB2">
            <w:pPr>
              <w:jc w:val="center"/>
              <w:rPr>
                <w:sz w:val="28"/>
                <w:szCs w:val="28"/>
                <w:lang w:val="uk-UA"/>
              </w:rPr>
            </w:pPr>
            <w:r w:rsidRPr="00CB2E36">
              <w:rPr>
                <w:sz w:val="28"/>
                <w:szCs w:val="28"/>
                <w:lang w:val="uk-UA"/>
              </w:rPr>
              <w:t>Т2</w:t>
            </w:r>
          </w:p>
        </w:tc>
        <w:tc>
          <w:tcPr>
            <w:tcW w:w="536" w:type="dxa"/>
          </w:tcPr>
          <w:p w:rsidR="009E1E11" w:rsidRPr="00CB2E36" w:rsidRDefault="009E1E11" w:rsidP="00C27CB2">
            <w:pPr>
              <w:jc w:val="center"/>
              <w:rPr>
                <w:sz w:val="28"/>
                <w:szCs w:val="28"/>
                <w:lang w:val="uk-UA"/>
              </w:rPr>
            </w:pPr>
            <w:r w:rsidRPr="00CB2E36">
              <w:rPr>
                <w:sz w:val="28"/>
                <w:szCs w:val="28"/>
                <w:lang w:val="uk-UA"/>
              </w:rPr>
              <w:t>Т3</w:t>
            </w:r>
          </w:p>
        </w:tc>
        <w:tc>
          <w:tcPr>
            <w:tcW w:w="536" w:type="dxa"/>
          </w:tcPr>
          <w:p w:rsidR="009E1E11" w:rsidRPr="00CB2E36" w:rsidRDefault="009E1E11" w:rsidP="00C27CB2">
            <w:pPr>
              <w:jc w:val="center"/>
              <w:rPr>
                <w:sz w:val="28"/>
                <w:szCs w:val="28"/>
                <w:lang w:val="uk-UA"/>
              </w:rPr>
            </w:pPr>
            <w:r w:rsidRPr="00CB2E36">
              <w:rPr>
                <w:sz w:val="28"/>
                <w:szCs w:val="28"/>
                <w:lang w:val="uk-UA"/>
              </w:rPr>
              <w:t>Т4</w:t>
            </w:r>
          </w:p>
        </w:tc>
        <w:tc>
          <w:tcPr>
            <w:tcW w:w="608" w:type="dxa"/>
          </w:tcPr>
          <w:p w:rsidR="009E1E11" w:rsidRPr="00CB2E36" w:rsidRDefault="009E1E11" w:rsidP="00C27CB2">
            <w:pPr>
              <w:jc w:val="center"/>
              <w:rPr>
                <w:sz w:val="28"/>
                <w:szCs w:val="28"/>
                <w:lang w:val="uk-UA"/>
              </w:rPr>
            </w:pPr>
            <w:r w:rsidRPr="00CB2E36">
              <w:rPr>
                <w:sz w:val="28"/>
                <w:szCs w:val="28"/>
                <w:lang w:val="uk-UA"/>
              </w:rPr>
              <w:t>Т6</w:t>
            </w:r>
          </w:p>
        </w:tc>
        <w:tc>
          <w:tcPr>
            <w:tcW w:w="608" w:type="dxa"/>
          </w:tcPr>
          <w:p w:rsidR="009E1E11" w:rsidRPr="00CB2E36" w:rsidRDefault="009E1E11" w:rsidP="00C27CB2">
            <w:pPr>
              <w:jc w:val="center"/>
              <w:rPr>
                <w:sz w:val="28"/>
                <w:szCs w:val="28"/>
                <w:lang w:val="uk-UA"/>
              </w:rPr>
            </w:pPr>
            <w:r w:rsidRPr="00CB2E36">
              <w:rPr>
                <w:sz w:val="28"/>
                <w:szCs w:val="28"/>
                <w:lang w:val="uk-UA"/>
              </w:rPr>
              <w:t>Т7</w:t>
            </w:r>
          </w:p>
        </w:tc>
        <w:tc>
          <w:tcPr>
            <w:tcW w:w="608" w:type="dxa"/>
          </w:tcPr>
          <w:p w:rsidR="009E1E11" w:rsidRPr="00CB2E36" w:rsidRDefault="009E1E11" w:rsidP="00C27CB2">
            <w:pPr>
              <w:jc w:val="center"/>
              <w:rPr>
                <w:sz w:val="28"/>
                <w:szCs w:val="28"/>
                <w:lang w:val="uk-UA"/>
              </w:rPr>
            </w:pPr>
            <w:r w:rsidRPr="00CB2E36">
              <w:rPr>
                <w:sz w:val="28"/>
                <w:szCs w:val="28"/>
                <w:lang w:val="uk-UA"/>
              </w:rPr>
              <w:t>Т8</w:t>
            </w:r>
          </w:p>
        </w:tc>
        <w:tc>
          <w:tcPr>
            <w:tcW w:w="614" w:type="dxa"/>
            <w:shd w:val="clear" w:color="auto" w:fill="auto"/>
          </w:tcPr>
          <w:p w:rsidR="009E1E11" w:rsidRPr="00CB2E36" w:rsidRDefault="009E1E11" w:rsidP="00C27CB2">
            <w:pPr>
              <w:jc w:val="center"/>
              <w:rPr>
                <w:sz w:val="28"/>
                <w:szCs w:val="28"/>
                <w:lang w:val="uk-UA"/>
              </w:rPr>
            </w:pPr>
            <w:r w:rsidRPr="00CB2E36">
              <w:rPr>
                <w:sz w:val="28"/>
                <w:szCs w:val="28"/>
                <w:lang w:val="uk-UA"/>
              </w:rPr>
              <w:t>Т9</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Т10</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Т11</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50</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100</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15</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20</w:t>
            </w:r>
          </w:p>
        </w:tc>
        <w:tc>
          <w:tcPr>
            <w:tcW w:w="1974" w:type="dxa"/>
            <w:gridSpan w:val="3"/>
            <w:shd w:val="clear" w:color="auto" w:fill="auto"/>
          </w:tcPr>
          <w:p w:rsidR="009E1E11" w:rsidRPr="00CB2E36" w:rsidRDefault="009E1E11" w:rsidP="00C27CB2">
            <w:pPr>
              <w:jc w:val="center"/>
              <w:rPr>
                <w:sz w:val="28"/>
                <w:szCs w:val="28"/>
                <w:lang w:val="uk-UA"/>
              </w:rPr>
            </w:pPr>
            <w:r w:rsidRPr="00CB2E36">
              <w:rPr>
                <w:sz w:val="28"/>
                <w:szCs w:val="28"/>
                <w:lang w:val="uk-UA"/>
              </w:rPr>
              <w:t>15</w:t>
            </w:r>
          </w:p>
        </w:tc>
        <w:tc>
          <w:tcPr>
            <w:tcW w:w="1564" w:type="dxa"/>
            <w:vMerge/>
          </w:tcPr>
          <w:p w:rsidR="009E1E11" w:rsidRPr="00CB2E36" w:rsidRDefault="009E1E11" w:rsidP="00C27CB2">
            <w:pPr>
              <w:jc w:val="right"/>
              <w:rPr>
                <w:sz w:val="28"/>
                <w:szCs w:val="28"/>
                <w:lang w:val="uk-UA"/>
              </w:rPr>
            </w:pPr>
          </w:p>
        </w:tc>
        <w:tc>
          <w:tcPr>
            <w:tcW w:w="755" w:type="dxa"/>
            <w:vMerge/>
          </w:tcPr>
          <w:p w:rsidR="009E1E11" w:rsidRPr="00CB2E36" w:rsidRDefault="009E1E11" w:rsidP="00C27CB2">
            <w:pPr>
              <w:jc w:val="right"/>
              <w:rPr>
                <w:sz w:val="28"/>
                <w:szCs w:val="28"/>
                <w:lang w:val="uk-UA"/>
              </w:rPr>
            </w:pPr>
          </w:p>
        </w:tc>
      </w:tr>
    </w:tbl>
    <w:p w:rsidR="009E1E11" w:rsidRPr="00CB2E36" w:rsidRDefault="009E1E11" w:rsidP="009E1E11">
      <w:pPr>
        <w:ind w:firstLine="600"/>
        <w:rPr>
          <w:sz w:val="28"/>
          <w:szCs w:val="28"/>
          <w:lang w:val="uk-UA"/>
        </w:rPr>
      </w:pPr>
      <w:r w:rsidRPr="00CB2E36">
        <w:rPr>
          <w:sz w:val="28"/>
          <w:szCs w:val="28"/>
          <w:lang w:val="uk-UA"/>
        </w:rPr>
        <w:t>Т1, Т2 ... Т11 – теми змістових модулів</w:t>
      </w:r>
    </w:p>
    <w:p w:rsidR="009E1E11" w:rsidRPr="00AD080D" w:rsidRDefault="009E1E11" w:rsidP="009E1E11">
      <w:pPr>
        <w:widowControl w:val="0"/>
        <w:autoSpaceDE w:val="0"/>
        <w:autoSpaceDN w:val="0"/>
        <w:adjustRightInd w:val="0"/>
        <w:spacing w:before="120"/>
        <w:ind w:firstLine="709"/>
        <w:jc w:val="both"/>
        <w:rPr>
          <w:sz w:val="28"/>
          <w:szCs w:val="28"/>
        </w:rPr>
      </w:pPr>
      <w:r w:rsidRPr="00CB2E36">
        <w:rPr>
          <w:sz w:val="28"/>
          <w:szCs w:val="28"/>
          <w:lang w:val="uk-UA"/>
        </w:rPr>
        <w:t>Бали за усні відповіді та контрольні роботи у межах кожного змістового модуля нараховуються з точністю до десятих.</w:t>
      </w:r>
      <w:r w:rsidRPr="00B50AC3">
        <w:rPr>
          <w:sz w:val="28"/>
          <w:szCs w:val="28"/>
          <w:lang w:val="uk-UA"/>
        </w:rPr>
        <w:t xml:space="preserve"> </w:t>
      </w:r>
      <w:r>
        <w:rPr>
          <w:sz w:val="28"/>
          <w:szCs w:val="28"/>
          <w:lang w:val="uk-UA"/>
        </w:rPr>
        <w:t>Н</w:t>
      </w:r>
      <w:r w:rsidRPr="00CB2E36">
        <w:rPr>
          <w:sz w:val="28"/>
          <w:szCs w:val="28"/>
          <w:lang w:val="uk-UA"/>
        </w:rPr>
        <w:t>а підставі середньої оцінки (середнє зважене оцінок за усні відповіді та завдання контрольної роботи) шляхом її множення на 3 (змістові модулі 1,3) та 4 (змістовий модуль 2), за умови, що середня оцінка більша 2. У іншому разі за змістовий модуль виставляється нуль балів. Отримані за всі види робіт впродовж семестру бали конвертуються у результуючу оцінку за наведеною нижче шкалою:</w:t>
      </w:r>
    </w:p>
    <w:p w:rsidR="009E1E11" w:rsidRPr="00CB2E36" w:rsidRDefault="009E1E11" w:rsidP="009E1E11">
      <w:pPr>
        <w:spacing w:after="120"/>
        <w:jc w:val="center"/>
        <w:rPr>
          <w:b/>
          <w:bCs/>
          <w:sz w:val="28"/>
          <w:szCs w:val="28"/>
          <w:lang w:val="uk-UA"/>
        </w:rPr>
      </w:pPr>
      <w:r w:rsidRPr="00CB2E36">
        <w:rPr>
          <w:b/>
          <w:bCs/>
          <w:sz w:val="28"/>
          <w:szCs w:val="28"/>
          <w:lang w:val="uk-UA"/>
        </w:rPr>
        <w:t>Шкала оцінювання: Університету, національна та ECTS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223"/>
        <w:gridCol w:w="1857"/>
        <w:gridCol w:w="3321"/>
        <w:gridCol w:w="1928"/>
      </w:tblGrid>
      <w:tr w:rsidR="009E1E11" w:rsidRPr="000F1786" w:rsidTr="00C27CB2">
        <w:trPr>
          <w:trHeight w:val="435"/>
        </w:trPr>
        <w:tc>
          <w:tcPr>
            <w:tcW w:w="1391"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в балах</w:t>
            </w:r>
          </w:p>
        </w:tc>
        <w:tc>
          <w:tcPr>
            <w:tcW w:w="1237"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ECTS</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Визначення</w:t>
            </w:r>
          </w:p>
        </w:tc>
        <w:tc>
          <w:tcPr>
            <w:tcW w:w="5262" w:type="dxa"/>
            <w:gridSpan w:val="2"/>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 національною шкалою</w:t>
            </w:r>
          </w:p>
        </w:tc>
      </w:tr>
      <w:tr w:rsidR="009E1E11" w:rsidRPr="000F1786" w:rsidTr="00C27CB2">
        <w:trPr>
          <w:trHeight w:val="302"/>
        </w:trPr>
        <w:tc>
          <w:tcPr>
            <w:tcW w:w="1391" w:type="dxa"/>
            <w:vMerge/>
            <w:shd w:val="clear" w:color="auto" w:fill="auto"/>
          </w:tcPr>
          <w:p w:rsidR="009E1E11" w:rsidRPr="000F1786" w:rsidRDefault="009E1E11" w:rsidP="00C27CB2">
            <w:pPr>
              <w:jc w:val="center"/>
              <w:rPr>
                <w:b/>
                <w:bCs/>
                <w:i/>
                <w:iCs/>
                <w:sz w:val="28"/>
                <w:szCs w:val="28"/>
                <w:lang w:val="uk-UA"/>
              </w:rPr>
            </w:pPr>
          </w:p>
        </w:tc>
        <w:tc>
          <w:tcPr>
            <w:tcW w:w="1237" w:type="dxa"/>
            <w:vMerge/>
            <w:shd w:val="clear" w:color="auto" w:fill="auto"/>
          </w:tcPr>
          <w:p w:rsidR="009E1E11" w:rsidRPr="000F1786" w:rsidRDefault="009E1E11" w:rsidP="00C27CB2">
            <w:pPr>
              <w:jc w:val="center"/>
              <w:rPr>
                <w:b/>
                <w:bCs/>
                <w:i/>
                <w:iCs/>
                <w:sz w:val="28"/>
                <w:szCs w:val="28"/>
                <w:lang w:val="uk-UA"/>
              </w:rPr>
            </w:pPr>
          </w:p>
        </w:tc>
        <w:tc>
          <w:tcPr>
            <w:tcW w:w="1800" w:type="dxa"/>
            <w:vMerge/>
            <w:shd w:val="clear" w:color="auto" w:fill="auto"/>
          </w:tcPr>
          <w:p w:rsidR="009E1E11" w:rsidRPr="000F1786" w:rsidRDefault="009E1E11" w:rsidP="00C27CB2">
            <w:pPr>
              <w:jc w:val="center"/>
              <w:rPr>
                <w:b/>
                <w:bCs/>
                <w:i/>
                <w:iCs/>
                <w:sz w:val="28"/>
                <w:szCs w:val="28"/>
                <w:lang w:val="uk-UA"/>
              </w:rPr>
            </w:pPr>
          </w:p>
        </w:tc>
        <w:tc>
          <w:tcPr>
            <w:tcW w:w="3455"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Екзаменаційна оцінка</w:t>
            </w:r>
          </w:p>
        </w:tc>
        <w:tc>
          <w:tcPr>
            <w:tcW w:w="1807"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Залік</w:t>
            </w:r>
          </w:p>
        </w:tc>
      </w:tr>
      <w:tr w:rsidR="009E1E11" w:rsidRPr="000F1786" w:rsidTr="00C27CB2">
        <w:trPr>
          <w:trHeight w:val="405"/>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90-100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А</w:t>
            </w:r>
          </w:p>
        </w:tc>
        <w:tc>
          <w:tcPr>
            <w:tcW w:w="1800"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3455"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1807" w:type="dxa"/>
            <w:vMerge w:val="restart"/>
            <w:shd w:val="clear" w:color="auto" w:fill="auto"/>
            <w:vAlign w:val="center"/>
          </w:tcPr>
          <w:p w:rsidR="009E1E11" w:rsidRPr="000F1786" w:rsidRDefault="009E1E11" w:rsidP="00C27CB2">
            <w:pPr>
              <w:pStyle w:val="3"/>
              <w:jc w:val="center"/>
              <w:rPr>
                <w:rFonts w:ascii="Times New Roman" w:hAnsi="Times New Roman"/>
                <w:i/>
                <w:sz w:val="28"/>
                <w:szCs w:val="28"/>
              </w:rPr>
            </w:pPr>
            <w:r w:rsidRPr="000F1786">
              <w:rPr>
                <w:rFonts w:ascii="Times New Roman" w:hAnsi="Times New Roman"/>
                <w:i/>
                <w:sz w:val="28"/>
                <w:szCs w:val="28"/>
              </w:rPr>
              <w:t>Зараховано</w:t>
            </w:r>
          </w:p>
        </w:tc>
      </w:tr>
      <w:tr w:rsidR="009E1E11" w:rsidRPr="000F1786" w:rsidTr="00C27CB2">
        <w:trPr>
          <w:trHeight w:val="194"/>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81-89</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В</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Дуже добре</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71-80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С</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61-70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D</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51-60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Е</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Достатньо</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vMerge w:val="restart"/>
            <w:shd w:val="clear" w:color="auto" w:fill="auto"/>
            <w:vAlign w:val="center"/>
          </w:tcPr>
          <w:p w:rsidR="009E1E11" w:rsidRPr="000F1786" w:rsidRDefault="009E1E11" w:rsidP="00C27CB2">
            <w:pPr>
              <w:jc w:val="center"/>
              <w:rPr>
                <w:spacing w:val="-4"/>
                <w:sz w:val="28"/>
                <w:szCs w:val="28"/>
                <w:lang w:val="uk-UA"/>
              </w:rPr>
            </w:pPr>
            <w:r w:rsidRPr="000F1786">
              <w:rPr>
                <w:spacing w:val="-4"/>
                <w:sz w:val="28"/>
                <w:szCs w:val="28"/>
                <w:lang w:val="uk-UA"/>
              </w:rPr>
              <w:t>0-50</w:t>
            </w:r>
          </w:p>
        </w:tc>
        <w:tc>
          <w:tcPr>
            <w:tcW w:w="1237" w:type="dxa"/>
            <w:shd w:val="clear" w:color="auto" w:fill="auto"/>
            <w:vAlign w:val="center"/>
          </w:tcPr>
          <w:p w:rsidR="009E1E11" w:rsidRPr="000F1786" w:rsidRDefault="009E1E11" w:rsidP="00C27CB2">
            <w:pPr>
              <w:jc w:val="center"/>
              <w:rPr>
                <w:b/>
                <w:spacing w:val="-4"/>
                <w:sz w:val="28"/>
                <w:szCs w:val="28"/>
                <w:lang w:val="en-US"/>
              </w:rPr>
            </w:pPr>
            <w:r w:rsidRPr="000F1786">
              <w:rPr>
                <w:b/>
                <w:spacing w:val="-4"/>
                <w:sz w:val="28"/>
                <w:szCs w:val="28"/>
                <w:lang w:val="en-US"/>
              </w:rPr>
              <w:t>FX</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p w:rsidR="009E1E11" w:rsidRPr="000F1786" w:rsidRDefault="009E1E11" w:rsidP="00C27CB2">
            <w:pPr>
              <w:jc w:val="center"/>
              <w:rPr>
                <w:b/>
                <w:bCs/>
                <w:i/>
                <w:iCs/>
                <w:sz w:val="28"/>
                <w:szCs w:val="28"/>
                <w:lang w:val="uk-UA"/>
              </w:rPr>
            </w:pPr>
            <w:r w:rsidRPr="000F1786">
              <w:rPr>
                <w:b/>
                <w:bCs/>
                <w:i/>
                <w:iCs/>
                <w:sz w:val="28"/>
                <w:szCs w:val="28"/>
                <w:lang w:val="uk-UA"/>
              </w:rPr>
              <w:t>(з можливістю повторного складання</w:t>
            </w:r>
            <w:r w:rsidRPr="000F1786">
              <w:rPr>
                <w:b/>
                <w:sz w:val="28"/>
                <w:szCs w:val="28"/>
                <w:lang w:val="uk-UA"/>
              </w:rPr>
              <w:t>)</w:t>
            </w:r>
          </w:p>
        </w:tc>
        <w:tc>
          <w:tcPr>
            <w:tcW w:w="1807" w:type="dxa"/>
            <w:vMerge w:val="restart"/>
            <w:shd w:val="clear" w:color="auto" w:fill="auto"/>
            <w:vAlign w:val="center"/>
          </w:tcPr>
          <w:p w:rsidR="009E1E11" w:rsidRPr="000F1786" w:rsidRDefault="009E1E11" w:rsidP="00C27CB2">
            <w:pPr>
              <w:jc w:val="center"/>
              <w:rPr>
                <w:b/>
                <w:bCs/>
                <w:i/>
                <w:iCs/>
                <w:sz w:val="28"/>
                <w:szCs w:val="28"/>
                <w:lang w:val="uk-UA"/>
              </w:rPr>
            </w:pPr>
            <w:proofErr w:type="spellStart"/>
            <w:r w:rsidRPr="000F1786">
              <w:rPr>
                <w:b/>
                <w:bCs/>
                <w:i/>
                <w:iCs/>
                <w:sz w:val="28"/>
                <w:szCs w:val="28"/>
                <w:lang w:val="uk-UA"/>
              </w:rPr>
              <w:t>Незараховано</w:t>
            </w:r>
            <w:proofErr w:type="spellEnd"/>
          </w:p>
        </w:tc>
      </w:tr>
      <w:tr w:rsidR="009E1E11" w:rsidRPr="000F1786" w:rsidTr="00C27CB2">
        <w:tc>
          <w:tcPr>
            <w:tcW w:w="1391" w:type="dxa"/>
            <w:vMerge/>
            <w:shd w:val="clear" w:color="auto" w:fill="auto"/>
          </w:tcPr>
          <w:p w:rsidR="009E1E11" w:rsidRPr="000F1786" w:rsidRDefault="009E1E11" w:rsidP="00C27CB2">
            <w:pPr>
              <w:jc w:val="right"/>
              <w:rPr>
                <w:b/>
                <w:spacing w:val="-4"/>
                <w:sz w:val="28"/>
                <w:szCs w:val="28"/>
                <w:lang w:val="uk-UA"/>
              </w:rPr>
            </w:pPr>
          </w:p>
        </w:tc>
        <w:tc>
          <w:tcPr>
            <w:tcW w:w="1237" w:type="dxa"/>
            <w:shd w:val="clear" w:color="auto" w:fill="auto"/>
          </w:tcPr>
          <w:p w:rsidR="009E1E11" w:rsidRPr="000F1786" w:rsidRDefault="009E1E11" w:rsidP="00C27CB2">
            <w:pPr>
              <w:jc w:val="center"/>
              <w:rPr>
                <w:b/>
                <w:spacing w:val="-4"/>
                <w:sz w:val="28"/>
                <w:szCs w:val="28"/>
                <w:lang w:val="en-US"/>
              </w:rPr>
            </w:pPr>
            <w:r w:rsidRPr="000F1786">
              <w:rPr>
                <w:b/>
                <w:spacing w:val="-4"/>
                <w:sz w:val="28"/>
                <w:szCs w:val="28"/>
                <w:lang w:val="en-US"/>
              </w:rPr>
              <w:t>F</w:t>
            </w:r>
          </w:p>
        </w:tc>
        <w:tc>
          <w:tcPr>
            <w:tcW w:w="1800" w:type="dxa"/>
            <w:vMerge/>
            <w:shd w:val="clear" w:color="auto" w:fill="auto"/>
          </w:tcPr>
          <w:p w:rsidR="009E1E11" w:rsidRPr="000F1786" w:rsidRDefault="009E1E11" w:rsidP="00C27CB2">
            <w:pPr>
              <w:jc w:val="right"/>
              <w:rPr>
                <w:b/>
                <w:spacing w:val="-4"/>
                <w:sz w:val="28"/>
                <w:szCs w:val="28"/>
                <w:lang w:val="uk-UA"/>
              </w:rPr>
            </w:pP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1807" w:type="dxa"/>
            <w:vMerge/>
            <w:shd w:val="clear" w:color="auto" w:fill="auto"/>
          </w:tcPr>
          <w:p w:rsidR="009E1E11" w:rsidRPr="000F1786" w:rsidRDefault="009E1E11" w:rsidP="00C27CB2">
            <w:pPr>
              <w:jc w:val="right"/>
              <w:rPr>
                <w:b/>
                <w:spacing w:val="-4"/>
                <w:sz w:val="28"/>
                <w:szCs w:val="28"/>
                <w:lang w:val="uk-UA"/>
              </w:rPr>
            </w:pPr>
          </w:p>
        </w:tc>
      </w:tr>
    </w:tbl>
    <w:p w:rsidR="009E1E11" w:rsidRPr="00CB2E36" w:rsidRDefault="009E1E11" w:rsidP="009E1E11">
      <w:pPr>
        <w:shd w:val="clear" w:color="auto" w:fill="FFFFFF"/>
        <w:jc w:val="center"/>
        <w:rPr>
          <w:b/>
          <w:sz w:val="28"/>
          <w:szCs w:val="28"/>
          <w:lang w:val="uk-UA"/>
        </w:rPr>
      </w:pPr>
    </w:p>
    <w:p w:rsidR="00E225F1" w:rsidRDefault="00E225F1"/>
    <w:sectPr w:rsidR="00E22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11"/>
    <w:rsid w:val="0015381A"/>
    <w:rsid w:val="00602F76"/>
    <w:rsid w:val="009B390F"/>
    <w:rsid w:val="009E1E11"/>
    <w:rsid w:val="00E225F1"/>
    <w:rsid w:val="00F52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2736</Words>
  <Characters>1560</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Юля</cp:lastModifiedBy>
  <cp:revision>4</cp:revision>
  <dcterms:created xsi:type="dcterms:W3CDTF">2017-12-12T19:25:00Z</dcterms:created>
  <dcterms:modified xsi:type="dcterms:W3CDTF">2017-12-12T19:29:00Z</dcterms:modified>
</cp:coreProperties>
</file>