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0F" w:rsidRPr="00E8128C" w:rsidRDefault="00E8128C" w:rsidP="00E8128C">
      <w:pPr>
        <w:jc w:val="center"/>
        <w:rPr>
          <w:rFonts w:ascii="Times New Roman" w:hAnsi="Times New Roman" w:cs="Times New Roman"/>
          <w:b/>
          <w:sz w:val="28"/>
          <w:szCs w:val="28"/>
        </w:rPr>
      </w:pPr>
      <w:r w:rsidRPr="00E8128C">
        <w:rPr>
          <w:rFonts w:ascii="Times New Roman" w:hAnsi="Times New Roman" w:cs="Times New Roman"/>
          <w:b/>
          <w:sz w:val="28"/>
          <w:szCs w:val="28"/>
        </w:rPr>
        <w:t xml:space="preserve">Тема </w:t>
      </w:r>
      <w:r w:rsidR="00884E10">
        <w:rPr>
          <w:rFonts w:ascii="Times New Roman" w:hAnsi="Times New Roman" w:cs="Times New Roman"/>
          <w:b/>
          <w:sz w:val="28"/>
          <w:szCs w:val="28"/>
        </w:rPr>
        <w:t>5</w:t>
      </w:r>
      <w:bookmarkStart w:id="0" w:name="_GoBack"/>
      <w:bookmarkEnd w:id="0"/>
      <w:r w:rsidRPr="00E8128C">
        <w:rPr>
          <w:rFonts w:ascii="Times New Roman" w:hAnsi="Times New Roman" w:cs="Times New Roman"/>
          <w:b/>
          <w:sz w:val="28"/>
          <w:szCs w:val="28"/>
        </w:rPr>
        <w:t>. ВИДИ І ОСОБЛИВОСТІ ЗДІЙСНЕННЯ МІЖБЮДЖЕТНИХ ТРАНСФЕРТ</w:t>
      </w:r>
    </w:p>
    <w:p w:rsidR="00E8128C" w:rsidRDefault="00E8128C" w:rsidP="00E8128C">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Види і </w:t>
      </w:r>
      <w:r w:rsidRPr="00491848">
        <w:rPr>
          <w:rFonts w:ascii="Times New Roman" w:hAnsi="Times New Roman" w:cs="Times New Roman"/>
          <w:sz w:val="28"/>
          <w:szCs w:val="28"/>
        </w:rPr>
        <w:t>характе</w:t>
      </w:r>
      <w:r>
        <w:rPr>
          <w:rFonts w:ascii="Times New Roman" w:hAnsi="Times New Roman" w:cs="Times New Roman"/>
          <w:sz w:val="28"/>
          <w:szCs w:val="28"/>
        </w:rPr>
        <w:t>ристика міжбюджетних трансферт</w:t>
      </w:r>
    </w:p>
    <w:p w:rsidR="00E8128C" w:rsidRPr="00E8128C" w:rsidRDefault="00E8128C" w:rsidP="00E8128C">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Горизонтальне вирівнювання податкоспроможності ОТГ.</w:t>
      </w:r>
    </w:p>
    <w:p w:rsidR="00E8128C" w:rsidRPr="00B05423" w:rsidRDefault="00B05423" w:rsidP="00B05423">
      <w:pPr>
        <w:pStyle w:val="a4"/>
        <w:numPr>
          <w:ilvl w:val="0"/>
          <w:numId w:val="2"/>
        </w:numPr>
        <w:spacing w:after="0" w:line="360" w:lineRule="auto"/>
        <w:jc w:val="both"/>
        <w:rPr>
          <w:rFonts w:ascii="Times New Roman" w:hAnsi="Times New Roman" w:cs="Times New Roman"/>
          <w:sz w:val="28"/>
          <w:szCs w:val="28"/>
        </w:rPr>
      </w:pPr>
      <w:r w:rsidRPr="00B05423">
        <w:rPr>
          <w:rFonts w:ascii="Times New Roman" w:hAnsi="Times New Roman" w:cs="Times New Roman"/>
          <w:sz w:val="28"/>
          <w:szCs w:val="28"/>
        </w:rPr>
        <w:t>ВИДИ І ХАРАКТЕРИСТИКА МІЖБЮДЖЕТНИХ ТРАНСФЕРТ</w:t>
      </w:r>
    </w:p>
    <w:p w:rsidR="00896FC0" w:rsidRPr="00896FC0" w:rsidRDefault="00896FC0" w:rsidP="00896FC0">
      <w:pPr>
        <w:autoSpaceDE w:val="0"/>
        <w:autoSpaceDN w:val="0"/>
        <w:adjustRightInd w:val="0"/>
        <w:spacing w:after="0" w:line="360" w:lineRule="auto"/>
        <w:ind w:firstLine="709"/>
        <w:jc w:val="both"/>
        <w:rPr>
          <w:rFonts w:ascii="Times New Roman" w:hAnsi="Times New Roman" w:cs="Times New Roman"/>
          <w:b/>
          <w:bCs/>
          <w:sz w:val="28"/>
          <w:szCs w:val="28"/>
        </w:rPr>
      </w:pPr>
      <w:r w:rsidRPr="00896FC0">
        <w:rPr>
          <w:rFonts w:ascii="Times New Roman" w:hAnsi="Times New Roman" w:cs="Times New Roman"/>
          <w:sz w:val="28"/>
          <w:szCs w:val="28"/>
        </w:rPr>
        <w:t xml:space="preserve">Трансферти в зарубіжній практиці трактуються як «передавальні платежі», «односторонні перекази», характерними ознаками яких є те, що рух коштів у вигляді трансфертів не супроводжується зустрічним одержанням товарів, послуг або грошей. Трансфертні платежі можуть виплачуватися урядом або фірмою домогосподарству чи фірмі. Якщо такі платежі здійснює уряд, то їх називають урядовими або державними трансфертними </w:t>
      </w:r>
      <w:proofErr w:type="spellStart"/>
      <w:r w:rsidRPr="00896FC0">
        <w:rPr>
          <w:rFonts w:ascii="Times New Roman" w:hAnsi="Times New Roman" w:cs="Times New Roman"/>
          <w:sz w:val="28"/>
          <w:szCs w:val="28"/>
        </w:rPr>
        <w:t>платежами</w:t>
      </w:r>
      <w:proofErr w:type="spellEnd"/>
      <w:r w:rsidRPr="00896FC0">
        <w:rPr>
          <w:rFonts w:ascii="Times New Roman" w:hAnsi="Times New Roman" w:cs="Times New Roman"/>
          <w:sz w:val="28"/>
          <w:szCs w:val="28"/>
        </w:rPr>
        <w:t>, а в багатьох країнах – субсидіями.</w:t>
      </w:r>
    </w:p>
    <w:p w:rsidR="00B05423" w:rsidRPr="00896FC0" w:rsidRDefault="00B05423" w:rsidP="00896FC0">
      <w:pPr>
        <w:autoSpaceDE w:val="0"/>
        <w:autoSpaceDN w:val="0"/>
        <w:adjustRightInd w:val="0"/>
        <w:spacing w:after="0" w:line="360" w:lineRule="auto"/>
        <w:ind w:firstLine="709"/>
        <w:jc w:val="both"/>
        <w:rPr>
          <w:rFonts w:ascii="Times New Roman" w:hAnsi="Times New Roman" w:cs="Times New Roman"/>
          <w:sz w:val="28"/>
          <w:szCs w:val="28"/>
        </w:rPr>
      </w:pPr>
      <w:r w:rsidRPr="00896FC0">
        <w:rPr>
          <w:rFonts w:ascii="Times New Roman" w:hAnsi="Times New Roman" w:cs="Times New Roman"/>
          <w:b/>
          <w:bCs/>
          <w:sz w:val="28"/>
          <w:szCs w:val="28"/>
        </w:rPr>
        <w:t xml:space="preserve">Міжбюджетні трансферти </w:t>
      </w:r>
      <w:r w:rsidRPr="00896FC0">
        <w:rPr>
          <w:rFonts w:ascii="Times New Roman" w:hAnsi="Times New Roman" w:cs="Times New Roman"/>
          <w:sz w:val="28"/>
          <w:szCs w:val="28"/>
        </w:rPr>
        <w:t>– кошти, які безоплатно і безповоротно передаються з одного бюджету до іншого</w:t>
      </w:r>
      <w:r w:rsidR="00896FC0" w:rsidRPr="00896FC0">
        <w:rPr>
          <w:rFonts w:ascii="Times New Roman" w:hAnsi="Times New Roman" w:cs="Times New Roman"/>
          <w:sz w:val="28"/>
          <w:szCs w:val="28"/>
        </w:rPr>
        <w:t xml:space="preserve"> (причому, можуть передаватися як з державного бюджету до місцевих бюджетів, так і у зворотному напрямку – від місцевих бюджетів до державного)</w:t>
      </w:r>
      <w:r w:rsidRPr="00896FC0">
        <w:rPr>
          <w:rFonts w:ascii="Times New Roman" w:hAnsi="Times New Roman" w:cs="Times New Roman"/>
          <w:sz w:val="28"/>
          <w:szCs w:val="28"/>
        </w:rPr>
        <w:t>.</w:t>
      </w:r>
    </w:p>
    <w:p w:rsidR="00896FC0" w:rsidRPr="00896FC0" w:rsidRDefault="00896FC0" w:rsidP="00896FC0">
      <w:pPr>
        <w:autoSpaceDE w:val="0"/>
        <w:autoSpaceDN w:val="0"/>
        <w:adjustRightInd w:val="0"/>
        <w:spacing w:after="0" w:line="360" w:lineRule="auto"/>
        <w:ind w:firstLine="709"/>
        <w:jc w:val="both"/>
        <w:rPr>
          <w:rFonts w:ascii="Times New Roman" w:hAnsi="Times New Roman" w:cs="Times New Roman"/>
          <w:b/>
          <w:bCs/>
          <w:sz w:val="28"/>
          <w:szCs w:val="28"/>
        </w:rPr>
      </w:pPr>
      <w:r w:rsidRPr="00896FC0">
        <w:rPr>
          <w:rFonts w:ascii="Times New Roman" w:hAnsi="Times New Roman" w:cs="Times New Roman"/>
          <w:sz w:val="28"/>
          <w:szCs w:val="28"/>
        </w:rPr>
        <w:t>Поняття «офіційні (міжбюджетні, бюджетні) трансферти» в українську практику було вперше запроваджено у 1996 році разом із введенням нової бюджетної класифікації, згідно з якою вони поділялися на дві групи залежно від цільового спрямування коштів: поточні і капітальні.</w:t>
      </w:r>
      <w:r>
        <w:rPr>
          <w:rFonts w:ascii="Times New Roman" w:hAnsi="Times New Roman" w:cs="Times New Roman"/>
          <w:sz w:val="28"/>
          <w:szCs w:val="28"/>
        </w:rPr>
        <w:t xml:space="preserve"> </w:t>
      </w:r>
      <w:r w:rsidRPr="00896FC0">
        <w:rPr>
          <w:rFonts w:ascii="Times New Roman" w:hAnsi="Times New Roman" w:cs="Times New Roman"/>
          <w:sz w:val="28"/>
          <w:szCs w:val="28"/>
        </w:rPr>
        <w:t>До поточних офіційних трансфертів належали грошові допомоги (дотації), які одержували бюджети нижчих рівнів при недостатності дохідних джерел. На відміну від поточних, капітальні офіційні трансферти (субвенції) передбачали цільове використання одержаних коштів. Цілі, на які спрямовувалися субвенції, переважно були пов’язані з виконанням органами місцевого самоврядування делегованих державою повноважень.</w:t>
      </w:r>
      <w:r w:rsidRPr="00896FC0">
        <w:rPr>
          <w:rFonts w:ascii="Times New Roman" w:hAnsi="Times New Roman" w:cs="Times New Roman"/>
          <w:b/>
          <w:bCs/>
          <w:sz w:val="28"/>
          <w:szCs w:val="28"/>
        </w:rPr>
        <w:t xml:space="preserve"> </w:t>
      </w:r>
    </w:p>
    <w:p w:rsidR="00B05423" w:rsidRPr="00B05423" w:rsidRDefault="00B05423" w:rsidP="00B05423">
      <w:pPr>
        <w:autoSpaceDE w:val="0"/>
        <w:autoSpaceDN w:val="0"/>
        <w:adjustRightInd w:val="0"/>
        <w:spacing w:after="0" w:line="360" w:lineRule="auto"/>
        <w:ind w:firstLine="709"/>
        <w:jc w:val="both"/>
        <w:rPr>
          <w:rFonts w:ascii="Times New Roman" w:hAnsi="Times New Roman" w:cs="Times New Roman"/>
          <w:sz w:val="28"/>
          <w:szCs w:val="28"/>
        </w:rPr>
      </w:pPr>
      <w:r w:rsidRPr="00B05423">
        <w:rPr>
          <w:rFonts w:ascii="Times New Roman" w:hAnsi="Times New Roman" w:cs="Times New Roman"/>
          <w:sz w:val="28"/>
          <w:szCs w:val="28"/>
        </w:rPr>
        <w:t xml:space="preserve">В результаті прийняття у грудні 2014 р. змін до </w:t>
      </w:r>
      <w:r w:rsidR="009925B5">
        <w:rPr>
          <w:rFonts w:ascii="Times New Roman" w:hAnsi="Times New Roman" w:cs="Times New Roman"/>
          <w:sz w:val="28"/>
          <w:szCs w:val="28"/>
        </w:rPr>
        <w:t>Бюджетному кодексі України (</w:t>
      </w:r>
      <w:r w:rsidRPr="00B05423">
        <w:rPr>
          <w:rFonts w:ascii="Times New Roman" w:hAnsi="Times New Roman" w:cs="Times New Roman"/>
          <w:sz w:val="28"/>
          <w:szCs w:val="28"/>
        </w:rPr>
        <w:t>БКУ</w:t>
      </w:r>
      <w:r w:rsidR="009925B5">
        <w:rPr>
          <w:rFonts w:ascii="Times New Roman" w:hAnsi="Times New Roman" w:cs="Times New Roman"/>
          <w:sz w:val="28"/>
          <w:szCs w:val="28"/>
        </w:rPr>
        <w:t>)</w:t>
      </w:r>
      <w:r w:rsidRPr="00B05423">
        <w:rPr>
          <w:rFonts w:ascii="Times New Roman" w:hAnsi="Times New Roman" w:cs="Times New Roman"/>
          <w:sz w:val="28"/>
          <w:szCs w:val="28"/>
        </w:rPr>
        <w:t xml:space="preserve"> змінилися види та порядок перерахування міжбюджетних трансфертів, які поділяються на:</w:t>
      </w:r>
    </w:p>
    <w:p w:rsidR="00B05423" w:rsidRPr="00B05423" w:rsidRDefault="00B05423" w:rsidP="00B05423">
      <w:pPr>
        <w:autoSpaceDE w:val="0"/>
        <w:autoSpaceDN w:val="0"/>
        <w:adjustRightInd w:val="0"/>
        <w:spacing w:after="0" w:line="360" w:lineRule="auto"/>
        <w:ind w:firstLine="709"/>
        <w:jc w:val="both"/>
        <w:rPr>
          <w:rFonts w:ascii="Times New Roman" w:hAnsi="Times New Roman" w:cs="Times New Roman"/>
          <w:sz w:val="28"/>
          <w:szCs w:val="28"/>
        </w:rPr>
      </w:pPr>
      <w:r w:rsidRPr="00B05423">
        <w:rPr>
          <w:rFonts w:ascii="Times New Roman" w:hAnsi="Times New Roman" w:cs="Times New Roman"/>
          <w:sz w:val="28"/>
          <w:szCs w:val="28"/>
        </w:rPr>
        <w:lastRenderedPageBreak/>
        <w:t>1) базову дотацію (трансферт, що надається з державного бюджету місцевим бюджетам для горизонтального вирівнювання податкоспроможності територій);</w:t>
      </w:r>
    </w:p>
    <w:p w:rsidR="00B05423" w:rsidRPr="00B05423" w:rsidRDefault="00B05423" w:rsidP="00B05423">
      <w:pPr>
        <w:autoSpaceDE w:val="0"/>
        <w:autoSpaceDN w:val="0"/>
        <w:adjustRightInd w:val="0"/>
        <w:spacing w:after="0" w:line="360" w:lineRule="auto"/>
        <w:ind w:firstLine="709"/>
        <w:jc w:val="both"/>
        <w:rPr>
          <w:rFonts w:ascii="Times New Roman" w:hAnsi="Times New Roman" w:cs="Times New Roman"/>
          <w:sz w:val="28"/>
          <w:szCs w:val="28"/>
        </w:rPr>
      </w:pPr>
      <w:r w:rsidRPr="00B05423">
        <w:rPr>
          <w:rFonts w:ascii="Times New Roman" w:hAnsi="Times New Roman" w:cs="Times New Roman"/>
          <w:sz w:val="28"/>
          <w:szCs w:val="28"/>
        </w:rPr>
        <w:t>2) субвенції</w:t>
      </w:r>
      <w:r w:rsidR="009925B5">
        <w:rPr>
          <w:rFonts w:ascii="Times New Roman" w:hAnsi="Times New Roman" w:cs="Times New Roman"/>
          <w:sz w:val="28"/>
          <w:szCs w:val="28"/>
        </w:rPr>
        <w:t xml:space="preserve"> (</w:t>
      </w:r>
      <w:r w:rsidR="009925B5" w:rsidRPr="009925B5">
        <w:rPr>
          <w:rFonts w:ascii="Times New Roman" w:hAnsi="Times New Roman" w:cs="Times New Roman"/>
          <w:sz w:val="28"/>
          <w:szCs w:val="28"/>
          <w:shd w:val="clear" w:color="auto" w:fill="FFFFFF"/>
        </w:rPr>
        <w:t>форма грошової допомоги </w:t>
      </w:r>
      <w:hyperlink r:id="rId6" w:tooltip="Бюджети місцевого самоврядування (ще не написана)" w:history="1">
        <w:r w:rsidR="009925B5" w:rsidRPr="009925B5">
          <w:rPr>
            <w:rStyle w:val="a3"/>
            <w:rFonts w:ascii="Times New Roman" w:hAnsi="Times New Roman" w:cs="Times New Roman"/>
            <w:color w:val="auto"/>
            <w:sz w:val="28"/>
            <w:szCs w:val="28"/>
            <w:u w:val="none"/>
            <w:shd w:val="clear" w:color="auto" w:fill="FFFFFF"/>
          </w:rPr>
          <w:t>місцевим бюджетам</w:t>
        </w:r>
      </w:hyperlink>
      <w:r w:rsidR="009925B5" w:rsidRPr="009925B5">
        <w:rPr>
          <w:rFonts w:ascii="Times New Roman" w:hAnsi="Times New Roman" w:cs="Times New Roman"/>
          <w:sz w:val="28"/>
          <w:szCs w:val="28"/>
          <w:shd w:val="clear" w:color="auto" w:fill="FFFFFF"/>
        </w:rPr>
        <w:t> із </w:t>
      </w:r>
      <w:hyperlink r:id="rId7" w:tooltip="Державний бюджет" w:history="1">
        <w:r w:rsidR="009925B5" w:rsidRPr="009925B5">
          <w:rPr>
            <w:rStyle w:val="a3"/>
            <w:rFonts w:ascii="Times New Roman" w:hAnsi="Times New Roman" w:cs="Times New Roman"/>
            <w:color w:val="auto"/>
            <w:sz w:val="28"/>
            <w:szCs w:val="28"/>
            <w:u w:val="none"/>
            <w:shd w:val="clear" w:color="auto" w:fill="FFFFFF"/>
          </w:rPr>
          <w:t>державного бюджету</w:t>
        </w:r>
      </w:hyperlink>
      <w:r w:rsidR="009925B5" w:rsidRPr="009925B5">
        <w:rPr>
          <w:rFonts w:ascii="Times New Roman" w:hAnsi="Times New Roman" w:cs="Times New Roman"/>
          <w:sz w:val="28"/>
          <w:szCs w:val="28"/>
          <w:shd w:val="clear" w:color="auto" w:fill="FFFFFF"/>
        </w:rPr>
        <w:t xml:space="preserve">, </w:t>
      </w:r>
      <w:r w:rsidR="009925B5">
        <w:rPr>
          <w:rFonts w:ascii="Times New Roman" w:hAnsi="Times New Roman" w:cs="Times New Roman"/>
          <w:sz w:val="28"/>
          <w:szCs w:val="28"/>
          <w:shd w:val="clear" w:color="auto" w:fill="FFFFFF"/>
        </w:rPr>
        <w:t>що</w:t>
      </w:r>
      <w:r w:rsidR="009925B5" w:rsidRPr="009925B5">
        <w:rPr>
          <w:rFonts w:ascii="Times New Roman" w:hAnsi="Times New Roman" w:cs="Times New Roman"/>
          <w:sz w:val="28"/>
          <w:szCs w:val="28"/>
          <w:shd w:val="clear" w:color="auto" w:fill="FFFFFF"/>
        </w:rPr>
        <w:t xml:space="preserve"> призначена для конкретно визначеної цілі/цілей</w:t>
      </w:r>
      <w:r w:rsidR="009925B5">
        <w:rPr>
          <w:rFonts w:ascii="Arial" w:hAnsi="Arial" w:cs="Arial"/>
          <w:color w:val="222222"/>
          <w:sz w:val="21"/>
          <w:szCs w:val="21"/>
          <w:shd w:val="clear" w:color="auto" w:fill="FFFFFF"/>
        </w:rPr>
        <w:t>)</w:t>
      </w:r>
      <w:r w:rsidRPr="00B05423">
        <w:rPr>
          <w:rFonts w:ascii="Times New Roman" w:hAnsi="Times New Roman" w:cs="Times New Roman"/>
          <w:sz w:val="28"/>
          <w:szCs w:val="28"/>
        </w:rPr>
        <w:t>;</w:t>
      </w:r>
    </w:p>
    <w:p w:rsidR="00B05423" w:rsidRPr="00B05423" w:rsidRDefault="00B05423" w:rsidP="00B05423">
      <w:pPr>
        <w:autoSpaceDE w:val="0"/>
        <w:autoSpaceDN w:val="0"/>
        <w:adjustRightInd w:val="0"/>
        <w:spacing w:after="0" w:line="360" w:lineRule="auto"/>
        <w:ind w:firstLine="709"/>
        <w:jc w:val="both"/>
        <w:rPr>
          <w:rFonts w:ascii="Times New Roman" w:hAnsi="Times New Roman" w:cs="Times New Roman"/>
          <w:sz w:val="28"/>
          <w:szCs w:val="28"/>
        </w:rPr>
      </w:pPr>
      <w:r w:rsidRPr="00B05423">
        <w:rPr>
          <w:rFonts w:ascii="Times New Roman" w:hAnsi="Times New Roman" w:cs="Times New Roman"/>
          <w:sz w:val="28"/>
          <w:szCs w:val="28"/>
        </w:rPr>
        <w:t>3) реверсну дотацію (кошти, що передаються з місцевих бюджетів до державного бюджету для горизонтального вирівнювання податкоспроможності територій);</w:t>
      </w:r>
    </w:p>
    <w:p w:rsidR="00B05423" w:rsidRPr="00B05423" w:rsidRDefault="00B05423" w:rsidP="00B05423">
      <w:pPr>
        <w:autoSpaceDE w:val="0"/>
        <w:autoSpaceDN w:val="0"/>
        <w:adjustRightInd w:val="0"/>
        <w:spacing w:after="0" w:line="360" w:lineRule="auto"/>
        <w:ind w:firstLine="709"/>
        <w:jc w:val="both"/>
        <w:rPr>
          <w:rFonts w:ascii="Times New Roman" w:hAnsi="Times New Roman" w:cs="Times New Roman"/>
          <w:sz w:val="28"/>
          <w:szCs w:val="28"/>
        </w:rPr>
      </w:pPr>
      <w:r w:rsidRPr="00B05423">
        <w:rPr>
          <w:rFonts w:ascii="Times New Roman" w:hAnsi="Times New Roman" w:cs="Times New Roman"/>
          <w:sz w:val="28"/>
          <w:szCs w:val="28"/>
        </w:rPr>
        <w:t>4) додаткові дотації.</w:t>
      </w:r>
    </w:p>
    <w:p w:rsidR="00B05423" w:rsidRPr="00896FC0" w:rsidRDefault="00B05423" w:rsidP="00896FC0">
      <w:pPr>
        <w:autoSpaceDE w:val="0"/>
        <w:autoSpaceDN w:val="0"/>
        <w:adjustRightInd w:val="0"/>
        <w:spacing w:after="0" w:line="360" w:lineRule="auto"/>
        <w:ind w:firstLine="709"/>
        <w:jc w:val="both"/>
        <w:rPr>
          <w:rFonts w:ascii="Times New Roman" w:hAnsi="Times New Roman" w:cs="Times New Roman"/>
          <w:b/>
          <w:bCs/>
          <w:i/>
          <w:sz w:val="28"/>
          <w:szCs w:val="28"/>
        </w:rPr>
      </w:pPr>
      <w:r w:rsidRPr="00896FC0">
        <w:rPr>
          <w:rFonts w:ascii="Times New Roman" w:hAnsi="Times New Roman" w:cs="Times New Roman"/>
          <w:b/>
          <w:bCs/>
          <w:i/>
          <w:sz w:val="28"/>
          <w:szCs w:val="28"/>
        </w:rPr>
        <w:t xml:space="preserve">У </w:t>
      </w:r>
      <w:r w:rsidR="009925B5" w:rsidRPr="00896FC0">
        <w:rPr>
          <w:rFonts w:ascii="Times New Roman" w:hAnsi="Times New Roman" w:cs="Times New Roman"/>
          <w:b/>
          <w:bCs/>
          <w:i/>
          <w:sz w:val="28"/>
          <w:szCs w:val="28"/>
        </w:rPr>
        <w:t>Державному бюджеті України (</w:t>
      </w:r>
      <w:r w:rsidRPr="00896FC0">
        <w:rPr>
          <w:rFonts w:ascii="Times New Roman" w:hAnsi="Times New Roman" w:cs="Times New Roman"/>
          <w:b/>
          <w:bCs/>
          <w:i/>
          <w:sz w:val="28"/>
          <w:szCs w:val="28"/>
        </w:rPr>
        <w:t>ДБУ</w:t>
      </w:r>
      <w:r w:rsidR="009925B5" w:rsidRPr="00896FC0">
        <w:rPr>
          <w:rFonts w:ascii="Times New Roman" w:hAnsi="Times New Roman" w:cs="Times New Roman"/>
          <w:b/>
          <w:bCs/>
          <w:i/>
          <w:sz w:val="28"/>
          <w:szCs w:val="28"/>
        </w:rPr>
        <w:t>)</w:t>
      </w:r>
      <w:r w:rsidRPr="00896FC0">
        <w:rPr>
          <w:rFonts w:ascii="Times New Roman" w:hAnsi="Times New Roman" w:cs="Times New Roman"/>
          <w:b/>
          <w:bCs/>
          <w:i/>
          <w:sz w:val="28"/>
          <w:szCs w:val="28"/>
        </w:rPr>
        <w:t xml:space="preserve"> затверджується обсяг міжбюджетних трансфертів окремо для кожного з відповідних місцевих бюджетів, якщо є підстави для надання та отримання відповідних міжбюджетних трансфертів.</w:t>
      </w:r>
    </w:p>
    <w:p w:rsidR="00B05423" w:rsidRPr="00B05423" w:rsidRDefault="00B05423" w:rsidP="00B05423">
      <w:pPr>
        <w:autoSpaceDE w:val="0"/>
        <w:autoSpaceDN w:val="0"/>
        <w:adjustRightInd w:val="0"/>
        <w:spacing w:after="0" w:line="360" w:lineRule="auto"/>
        <w:ind w:firstLine="709"/>
        <w:jc w:val="both"/>
        <w:rPr>
          <w:rFonts w:ascii="Times New Roman" w:hAnsi="Times New Roman" w:cs="Times New Roman"/>
          <w:sz w:val="28"/>
          <w:szCs w:val="28"/>
        </w:rPr>
      </w:pPr>
      <w:r w:rsidRPr="00B05423">
        <w:rPr>
          <w:rFonts w:ascii="Times New Roman" w:hAnsi="Times New Roman" w:cs="Times New Roman"/>
          <w:sz w:val="28"/>
          <w:szCs w:val="28"/>
        </w:rPr>
        <w:t>Порядок перерахування міжбюджетних трансфертів з державного бюджету місцевим бюджетам, реверсної дотації, а також порядок перерахування міжбюджетних трансфертів між місцевими бюджетами визначаються Кабінетом Міністрів України і мають забезпечувати своєчасність,</w:t>
      </w:r>
      <w:r>
        <w:rPr>
          <w:rFonts w:ascii="Times New Roman" w:hAnsi="Times New Roman" w:cs="Times New Roman"/>
          <w:sz w:val="28"/>
          <w:szCs w:val="28"/>
        </w:rPr>
        <w:t xml:space="preserve"> </w:t>
      </w:r>
      <w:r w:rsidRPr="00B05423">
        <w:rPr>
          <w:rFonts w:ascii="Times New Roman" w:hAnsi="Times New Roman" w:cs="Times New Roman"/>
          <w:sz w:val="28"/>
          <w:szCs w:val="28"/>
        </w:rPr>
        <w:t>рівномірність, гарантованість та повноту перерахування трансфертів.</w:t>
      </w:r>
    </w:p>
    <w:p w:rsidR="00B05423" w:rsidRPr="00896FC0" w:rsidRDefault="00B05423" w:rsidP="00B05423">
      <w:pPr>
        <w:autoSpaceDE w:val="0"/>
        <w:autoSpaceDN w:val="0"/>
        <w:adjustRightInd w:val="0"/>
        <w:spacing w:after="0" w:line="360" w:lineRule="auto"/>
        <w:ind w:firstLine="709"/>
        <w:jc w:val="both"/>
        <w:rPr>
          <w:rFonts w:ascii="Times New Roman" w:hAnsi="Times New Roman" w:cs="Times New Roman"/>
          <w:b/>
          <w:bCs/>
          <w:i/>
          <w:sz w:val="28"/>
          <w:szCs w:val="28"/>
        </w:rPr>
      </w:pPr>
      <w:r w:rsidRPr="00896FC0">
        <w:rPr>
          <w:rFonts w:ascii="Times New Roman" w:hAnsi="Times New Roman" w:cs="Times New Roman"/>
          <w:b/>
          <w:bCs/>
          <w:i/>
          <w:sz w:val="28"/>
          <w:szCs w:val="28"/>
        </w:rPr>
        <w:t>Ст. 101 БКУ передбачає можливість надання міжбюджетних трансфертів з одного місцевого бюджету до іншого на підставі відповідних рішень місцевої ради й умов визначених відповідним договором сторін.</w:t>
      </w:r>
    </w:p>
    <w:p w:rsidR="00B05423" w:rsidRDefault="00B05423" w:rsidP="00B05423">
      <w:pPr>
        <w:autoSpaceDE w:val="0"/>
        <w:autoSpaceDN w:val="0"/>
        <w:adjustRightInd w:val="0"/>
        <w:spacing w:after="0" w:line="240" w:lineRule="auto"/>
        <w:rPr>
          <w:rFonts w:ascii="Times New Roman" w:hAnsi="Times New Roman" w:cs="Times New Roman"/>
          <w:sz w:val="28"/>
          <w:szCs w:val="28"/>
        </w:rPr>
      </w:pPr>
    </w:p>
    <w:p w:rsidR="00E8128C" w:rsidRDefault="00E8128C" w:rsidP="00E812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ГОРИЗОНТАЛЬНЕ ВИРІВНЮВАННЯ ПОДАТКОСПРОМОЖНОСТІ ОТГ</w:t>
      </w:r>
    </w:p>
    <w:p w:rsidR="00E8128C" w:rsidRPr="00E8128C" w:rsidRDefault="00E8128C" w:rsidP="00E8128C">
      <w:pPr>
        <w:spacing w:after="0" w:line="360" w:lineRule="auto"/>
        <w:ind w:firstLine="709"/>
        <w:jc w:val="both"/>
        <w:rPr>
          <w:rFonts w:ascii="Times New Roman" w:hAnsi="Times New Roman" w:cs="Times New Roman"/>
          <w:sz w:val="28"/>
          <w:szCs w:val="28"/>
        </w:rPr>
      </w:pPr>
      <w:r w:rsidRPr="00E8128C">
        <w:rPr>
          <w:rFonts w:ascii="Times New Roman" w:hAnsi="Times New Roman" w:cs="Times New Roman"/>
          <w:sz w:val="28"/>
          <w:szCs w:val="28"/>
        </w:rPr>
        <w:t>Бюджети ОТГ беруть участь у горизонтальному вирівнюванні податкоспроможності. При цьому, як і за іншими бюджетами (районними та міст обласного значення), вирівнювання здійснюється лише за одним податком – ПДФО</w:t>
      </w:r>
      <w:r>
        <w:rPr>
          <w:rFonts w:ascii="Times New Roman" w:hAnsi="Times New Roman" w:cs="Times New Roman"/>
          <w:sz w:val="28"/>
          <w:szCs w:val="28"/>
        </w:rPr>
        <w:t xml:space="preserve"> (податок на доходи фізичних осіб)</w:t>
      </w:r>
      <w:r w:rsidRPr="00E8128C">
        <w:rPr>
          <w:rFonts w:ascii="Times New Roman" w:hAnsi="Times New Roman" w:cs="Times New Roman"/>
          <w:sz w:val="28"/>
          <w:szCs w:val="28"/>
        </w:rPr>
        <w:t>. Це питання врегульовано ст. 99 БК</w:t>
      </w:r>
      <w:r>
        <w:rPr>
          <w:rFonts w:ascii="Times New Roman" w:hAnsi="Times New Roman" w:cs="Times New Roman"/>
          <w:sz w:val="28"/>
          <w:szCs w:val="28"/>
        </w:rPr>
        <w:t xml:space="preserve"> (Бюджетного кодексу)</w:t>
      </w:r>
      <w:r w:rsidRPr="00E8128C">
        <w:rPr>
          <w:rFonts w:ascii="Times New Roman" w:hAnsi="Times New Roman" w:cs="Times New Roman"/>
          <w:sz w:val="28"/>
          <w:szCs w:val="28"/>
        </w:rPr>
        <w:t>. При здійсненні горизонтального вирівнювання враховується: чисельність населення відповідного бюджету на початок року, що передує</w:t>
      </w:r>
      <w:r w:rsidR="000643B3">
        <w:rPr>
          <w:rFonts w:ascii="Times New Roman" w:hAnsi="Times New Roman" w:cs="Times New Roman"/>
          <w:sz w:val="28"/>
          <w:szCs w:val="28"/>
        </w:rPr>
        <w:t xml:space="preserve"> плановому, – для бюджету на 2020</w:t>
      </w:r>
      <w:r w:rsidRPr="00E8128C">
        <w:rPr>
          <w:rFonts w:ascii="Times New Roman" w:hAnsi="Times New Roman" w:cs="Times New Roman"/>
          <w:sz w:val="28"/>
          <w:szCs w:val="28"/>
        </w:rPr>
        <w:t xml:space="preserve"> рік дані станом на 01.01.1</w:t>
      </w:r>
      <w:r w:rsidR="000643B3">
        <w:rPr>
          <w:rFonts w:ascii="Times New Roman" w:hAnsi="Times New Roman" w:cs="Times New Roman"/>
          <w:sz w:val="28"/>
          <w:szCs w:val="28"/>
        </w:rPr>
        <w:t>9</w:t>
      </w:r>
      <w:r w:rsidRPr="00E8128C">
        <w:rPr>
          <w:rFonts w:ascii="Times New Roman" w:hAnsi="Times New Roman" w:cs="Times New Roman"/>
          <w:sz w:val="28"/>
          <w:szCs w:val="28"/>
        </w:rPr>
        <w:t xml:space="preserve"> р. (використовуються офіційні дані звітності </w:t>
      </w:r>
      <w:proofErr w:type="spellStart"/>
      <w:r w:rsidRPr="00E8128C">
        <w:rPr>
          <w:rFonts w:ascii="Times New Roman" w:hAnsi="Times New Roman" w:cs="Times New Roman"/>
          <w:sz w:val="28"/>
          <w:szCs w:val="28"/>
        </w:rPr>
        <w:t>Держстату</w:t>
      </w:r>
      <w:proofErr w:type="spellEnd"/>
      <w:r w:rsidRPr="00E8128C">
        <w:rPr>
          <w:rFonts w:ascii="Times New Roman" w:hAnsi="Times New Roman" w:cs="Times New Roman"/>
          <w:sz w:val="28"/>
          <w:szCs w:val="28"/>
        </w:rPr>
        <w:t xml:space="preserve">); надходження ПДФО в </w:t>
      </w:r>
      <w:r w:rsidRPr="00E8128C">
        <w:rPr>
          <w:rFonts w:ascii="Times New Roman" w:hAnsi="Times New Roman" w:cs="Times New Roman"/>
          <w:sz w:val="28"/>
          <w:szCs w:val="28"/>
        </w:rPr>
        <w:lastRenderedPageBreak/>
        <w:t>частині, що зараховується до відповідного бюджету (для бюджетів ОТГ – 60 %) за останній звітний період, – для бюджету на 20</w:t>
      </w:r>
      <w:r w:rsidR="000643B3">
        <w:rPr>
          <w:rFonts w:ascii="Times New Roman" w:hAnsi="Times New Roman" w:cs="Times New Roman"/>
          <w:sz w:val="28"/>
          <w:szCs w:val="28"/>
        </w:rPr>
        <w:t>20</w:t>
      </w:r>
      <w:r w:rsidRPr="00E8128C">
        <w:rPr>
          <w:rFonts w:ascii="Times New Roman" w:hAnsi="Times New Roman" w:cs="Times New Roman"/>
          <w:sz w:val="28"/>
          <w:szCs w:val="28"/>
        </w:rPr>
        <w:t xml:space="preserve"> рік це фактичні надходження за 201</w:t>
      </w:r>
      <w:r w:rsidR="000643B3">
        <w:rPr>
          <w:rFonts w:ascii="Times New Roman" w:hAnsi="Times New Roman" w:cs="Times New Roman"/>
          <w:sz w:val="28"/>
          <w:szCs w:val="28"/>
        </w:rPr>
        <w:t>8</w:t>
      </w:r>
      <w:r w:rsidRPr="00E8128C">
        <w:rPr>
          <w:rFonts w:ascii="Times New Roman" w:hAnsi="Times New Roman" w:cs="Times New Roman"/>
          <w:sz w:val="28"/>
          <w:szCs w:val="28"/>
        </w:rPr>
        <w:t xml:space="preserve"> рік (використовуються офіційні дані звітності Казначейства); індекс податкоспроможності бюджету – визначається як співвідношення надходжень ПДФО на одного жителя за відповідним бюджетом до аналогічного показника по Україні. Результатом горизонтального вирівнювання є базова (з держбюджету – місцевим бюджетам) або реверсна (з місцевого бюджету – держбюджету) дотація. Базова дотація надається бюджетам ОТГ, які мають рівень надходжень нижче 0,9 середнього показника по Україні, для підвищення рівня їх фіскальної спроможності.</w:t>
      </w:r>
    </w:p>
    <w:p w:rsidR="00E8128C" w:rsidRDefault="00E8128C" w:rsidP="00E8128C">
      <w:pPr>
        <w:spacing w:after="0" w:line="360" w:lineRule="auto"/>
        <w:ind w:firstLine="709"/>
        <w:jc w:val="both"/>
      </w:pPr>
      <w:r w:rsidRPr="00E8128C">
        <w:rPr>
          <w:rFonts w:ascii="Times New Roman" w:hAnsi="Times New Roman" w:cs="Times New Roman"/>
          <w:sz w:val="28"/>
          <w:szCs w:val="28"/>
        </w:rPr>
        <w:t>Із бюджетів ОТГ, які мають рівень надходжень вище 1,1 середнього показника по Україні, передається (держбюджету) реверсна дотація.</w:t>
      </w:r>
    </w:p>
    <w:p w:rsidR="000643B3" w:rsidRDefault="00E8128C" w:rsidP="00E8128C">
      <w:pPr>
        <w:spacing w:after="0" w:line="360" w:lineRule="auto"/>
        <w:ind w:firstLine="709"/>
        <w:jc w:val="both"/>
        <w:rPr>
          <w:rFonts w:ascii="Times New Roman" w:hAnsi="Times New Roman" w:cs="Times New Roman"/>
          <w:sz w:val="28"/>
          <w:szCs w:val="28"/>
        </w:rPr>
      </w:pPr>
      <w:r w:rsidRPr="00E8128C">
        <w:rPr>
          <w:rFonts w:ascii="Times New Roman" w:hAnsi="Times New Roman" w:cs="Times New Roman"/>
          <w:sz w:val="28"/>
          <w:szCs w:val="28"/>
        </w:rPr>
        <w:t xml:space="preserve">БК передбачено особливості застосування положень окремих статей БК стосовно формування та виконання районного бюджету районів, у яких утворено ОТГ, та бюджетів ОТГ на перший плановий бюджетний період після об’єднання (п. 38 Прикінцевих та перехідних положень БК), а саме: п. 5 ч. 2 ст. 41: до набрання чинності закону про бюджет перерахування трансфертів з держбюджету (базової дотації, освітньої та медичної субвенцій), а також реверсної дотації до держбюджету здійснюється відповідно до обсягів, визначених у проекті закону про Держбюджет, схваленому КМУ та поданому до Верховної Ради. Норма для інших місцевих бюджетів – перерахування здійснюється відповідно до обсягів, визначених у законі про Держбюджет на попередній бюджетний період; абзац другий ч. 2 ст. 77: у разі неприйняття закону про Держбюджет до 1 грудня року, що передує плановому, при затвердженні бюджету враховуються обсяги міжбюджетних трансфертів (освітня, медична субвенція, базова та реверсна дотації), визначені у проекті закону про Держбюджет, схваленому КМУ та поданому до Верховної Ради. Норма для інших місцевих бюджетів – враховуються обсяги, визначені в законі про Держбюджет на попередній бюджетний період. ч. 1 ст. 79: якщо до початку нового бюджетного періоду не прийнято рішення про бюджет, з бюджету можуть здійснюватися витрати на цілі, визначені у проекті рішення про бюджет </w:t>
      </w:r>
      <w:r w:rsidRPr="00E8128C">
        <w:rPr>
          <w:rFonts w:ascii="Times New Roman" w:hAnsi="Times New Roman" w:cs="Times New Roman"/>
          <w:sz w:val="28"/>
          <w:szCs w:val="28"/>
        </w:rPr>
        <w:lastRenderedPageBreak/>
        <w:t>на плановий бюджетний період, схваленому виконавчим органом місцевої ради та поданому на розгляд місцевої ради. Норма для інших місцевих бюджетів – можуть здійснюватися витрати лише на цілі, визначені у рішенні про місцевий бюджет на попередній бюджетний період та одночасно передбачені у проекті рішення про місцевий бюджет на наступний бюджетний період. При цьому щомісячні бюджетні асигнування бюджету сумарно не можуть перевищувати 1/12 обсягу бюджетних призначень, передбачених проектом рішення про бюджет на плановий бюджетний період з урахуванням міжбюджетних трансфертів, які визначені законом про Держбюджет на плановий бюджетний період (у разі несвоєчасного набрання чинності такого закону – проектом закону про Держбюджет, схваленим КМУ та поданим до Верховної Ради). Норма для інших місцевих бюджетів – не можуть перевищувати 1/12 обсягу, установленого рішенням про місцевий бюджет на попередній бюджетний період.</w:t>
      </w:r>
    </w:p>
    <w:p w:rsidR="000643B3" w:rsidRPr="000643B3" w:rsidRDefault="000643B3" w:rsidP="000643B3">
      <w:pPr>
        <w:pStyle w:val="a5"/>
        <w:shd w:val="clear" w:color="auto" w:fill="FFFFFF"/>
        <w:spacing w:before="0" w:beforeAutospacing="0" w:after="0" w:afterAutospacing="0" w:line="360" w:lineRule="auto"/>
        <w:ind w:firstLine="709"/>
        <w:jc w:val="both"/>
        <w:rPr>
          <w:color w:val="000000"/>
          <w:sz w:val="28"/>
          <w:szCs w:val="28"/>
        </w:rPr>
      </w:pPr>
      <w:r w:rsidRPr="000643B3">
        <w:rPr>
          <w:color w:val="000000"/>
          <w:sz w:val="28"/>
          <w:szCs w:val="28"/>
        </w:rPr>
        <w:t xml:space="preserve">Таким чином, якщо значення індексу податкоспроможності відповідного місцевого бюджету є нижчим, ніж 0,9 середнього значення індексу по Україні, то органам місцевого самоврядування надають базову дотацію з Держбюджету. Розмір дотації становить 80% суми, якої не вистачає до досягнення показника 0,9 середнього значення індексу по Україні. Якщо ж значення індексу є більшим за 1,1 середнього значення, то застосовують реверсну дотацію. У такому випадку вилучають лише 50% надлишкової суми. А от бюджети, індекс податкоспроможності яких перебуває в межах 0,9-1,1 </w:t>
      </w:r>
      <w:proofErr w:type="spellStart"/>
      <w:r w:rsidRPr="000643B3">
        <w:rPr>
          <w:color w:val="000000"/>
          <w:sz w:val="28"/>
          <w:szCs w:val="28"/>
        </w:rPr>
        <w:t>середньоукраїнського</w:t>
      </w:r>
      <w:proofErr w:type="spellEnd"/>
      <w:r w:rsidRPr="000643B3">
        <w:rPr>
          <w:color w:val="000000"/>
          <w:sz w:val="28"/>
          <w:szCs w:val="28"/>
        </w:rPr>
        <w:t xml:space="preserve"> значення, під вирівнювання не потрапляють. Їх умовно можна вважати самодостатніми або бездотаційними (проте є виняток, дія 98 та 99 статті Бюджетного Кодексу України, котрі регулюють вищеописаний механізм горизонтального вирівнювання, не поширюється на бюджет міста Києва).</w:t>
      </w:r>
    </w:p>
    <w:p w:rsidR="000643B3" w:rsidRDefault="000643B3" w:rsidP="00E81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Приклади розрахунків:</w:t>
      </w:r>
    </w:p>
    <w:p w:rsidR="00DB48BC" w:rsidRDefault="00DB48BC" w:rsidP="00DB48BC">
      <w:pPr>
        <w:autoSpaceDE w:val="0"/>
        <w:autoSpaceDN w:val="0"/>
        <w:adjustRightInd w:val="0"/>
        <w:spacing w:after="0" w:line="360" w:lineRule="auto"/>
        <w:jc w:val="right"/>
        <w:rPr>
          <w:rFonts w:ascii="Times New Roman" w:hAnsi="Times New Roman" w:cs="Times New Roman"/>
          <w:b/>
          <w:bCs/>
          <w:i/>
          <w:iCs/>
          <w:sz w:val="28"/>
          <w:szCs w:val="28"/>
        </w:rPr>
      </w:pPr>
      <w:r w:rsidRPr="00DB48BC">
        <w:rPr>
          <w:rFonts w:ascii="Times New Roman" w:hAnsi="Times New Roman" w:cs="Times New Roman"/>
          <w:b/>
          <w:bCs/>
          <w:i/>
          <w:iCs/>
          <w:sz w:val="28"/>
          <w:szCs w:val="28"/>
        </w:rPr>
        <w:t xml:space="preserve">Таблиця 1. </w:t>
      </w:r>
    </w:p>
    <w:p w:rsidR="00DB48BC" w:rsidRPr="00DB48BC" w:rsidRDefault="00DB48BC" w:rsidP="00DB48BC">
      <w:pPr>
        <w:autoSpaceDE w:val="0"/>
        <w:autoSpaceDN w:val="0"/>
        <w:adjustRightInd w:val="0"/>
        <w:spacing w:after="0" w:line="360" w:lineRule="auto"/>
        <w:ind w:firstLine="709"/>
        <w:jc w:val="center"/>
        <w:rPr>
          <w:rFonts w:ascii="Times New Roman" w:hAnsi="Times New Roman" w:cs="Times New Roman"/>
          <w:sz w:val="28"/>
          <w:szCs w:val="28"/>
        </w:rPr>
      </w:pPr>
      <w:r w:rsidRPr="00DB48BC">
        <w:rPr>
          <w:rFonts w:ascii="Times New Roman" w:hAnsi="Times New Roman" w:cs="Times New Roman"/>
          <w:b/>
          <w:bCs/>
          <w:i/>
          <w:iCs/>
          <w:sz w:val="28"/>
          <w:szCs w:val="28"/>
        </w:rPr>
        <w:t>Схема розрахунків системи міжбюджетного вирівнювання в Україні у 2016 році</w:t>
      </w:r>
    </w:p>
    <w:p w:rsidR="00DB48BC" w:rsidRDefault="00DB48BC" w:rsidP="00DB48B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uk-UA"/>
        </w:rPr>
        <w:lastRenderedPageBreak/>
        <w:drawing>
          <wp:inline distT="0" distB="0" distL="0" distR="0" wp14:anchorId="52776F65" wp14:editId="4AF94B2F">
            <wp:extent cx="6121400" cy="2209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0" cy="2209800"/>
                    </a:xfrm>
                    <a:prstGeom prst="rect">
                      <a:avLst/>
                    </a:prstGeom>
                    <a:noFill/>
                    <a:ln>
                      <a:noFill/>
                    </a:ln>
                  </pic:spPr>
                </pic:pic>
              </a:graphicData>
            </a:graphic>
          </wp:inline>
        </w:drawing>
      </w:r>
    </w:p>
    <w:p w:rsidR="00DB48BC" w:rsidRPr="00DB48BC" w:rsidRDefault="00DB48BC" w:rsidP="00E55DD3">
      <w:pPr>
        <w:autoSpaceDE w:val="0"/>
        <w:autoSpaceDN w:val="0"/>
        <w:adjustRightInd w:val="0"/>
        <w:spacing w:after="0" w:line="360" w:lineRule="auto"/>
        <w:ind w:firstLine="709"/>
        <w:jc w:val="both"/>
        <w:rPr>
          <w:rFonts w:ascii="Times New Roman" w:hAnsi="Times New Roman" w:cs="Times New Roman"/>
          <w:sz w:val="28"/>
          <w:szCs w:val="28"/>
        </w:rPr>
      </w:pPr>
      <w:r w:rsidRPr="00DB48BC">
        <w:rPr>
          <w:rFonts w:ascii="Times New Roman" w:hAnsi="Times New Roman" w:cs="Times New Roman"/>
          <w:sz w:val="28"/>
          <w:szCs w:val="28"/>
        </w:rPr>
        <w:t>Відповідно до бюджетного законодавства зазначений механізм розрахунку системи міжбюджетного вирівнювання передбачено тільки для бюджетів міст обласного значення, об’єднаних територіальних громад та районних бюджетів. З бюджетів органів місцевого самоврядування сіл, селищ і міст районного значення повністю вилучено надходження податку на доходи фізичних осіб, а, отже, і базова дотація їм не перераховується.</w:t>
      </w:r>
    </w:p>
    <w:p w:rsidR="00DB48BC" w:rsidRPr="00DB48BC" w:rsidRDefault="00DB48BC" w:rsidP="00E55DD3">
      <w:pPr>
        <w:spacing w:after="0" w:line="360" w:lineRule="auto"/>
        <w:ind w:firstLine="709"/>
        <w:jc w:val="right"/>
        <w:rPr>
          <w:rFonts w:ascii="Times New Roman" w:hAnsi="Times New Roman" w:cs="Times New Roman"/>
          <w:b/>
          <w:bCs/>
          <w:i/>
          <w:iCs/>
          <w:sz w:val="28"/>
          <w:szCs w:val="28"/>
        </w:rPr>
      </w:pPr>
      <w:r w:rsidRPr="00DB48BC">
        <w:rPr>
          <w:rFonts w:ascii="Times New Roman" w:hAnsi="Times New Roman" w:cs="Times New Roman"/>
          <w:b/>
          <w:bCs/>
          <w:i/>
          <w:iCs/>
          <w:sz w:val="28"/>
          <w:szCs w:val="28"/>
        </w:rPr>
        <w:t xml:space="preserve">Таблиця 3. </w:t>
      </w:r>
    </w:p>
    <w:p w:rsidR="00DB48BC" w:rsidRPr="00DB48BC" w:rsidRDefault="00DB48BC" w:rsidP="00E55DD3">
      <w:pPr>
        <w:spacing w:after="0" w:line="360" w:lineRule="auto"/>
        <w:ind w:firstLine="709"/>
        <w:jc w:val="both"/>
        <w:rPr>
          <w:rFonts w:ascii="Times New Roman" w:hAnsi="Times New Roman" w:cs="Times New Roman"/>
          <w:b/>
          <w:bCs/>
          <w:i/>
          <w:iCs/>
          <w:sz w:val="28"/>
          <w:szCs w:val="28"/>
        </w:rPr>
      </w:pPr>
      <w:r w:rsidRPr="00DB48BC">
        <w:rPr>
          <w:rFonts w:ascii="Times New Roman" w:hAnsi="Times New Roman" w:cs="Times New Roman"/>
          <w:b/>
          <w:bCs/>
          <w:i/>
          <w:iCs/>
          <w:sz w:val="28"/>
          <w:szCs w:val="28"/>
        </w:rPr>
        <w:t>Приклад розрахунку горизонтального вирівнювання для громади N</w:t>
      </w:r>
    </w:p>
    <w:p w:rsidR="00E55DD3" w:rsidRDefault="00A06BD8" w:rsidP="00E55DD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262FFFBF" wp14:editId="1A730902">
            <wp:extent cx="6115050" cy="3857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857625"/>
                    </a:xfrm>
                    <a:prstGeom prst="rect">
                      <a:avLst/>
                    </a:prstGeom>
                    <a:noFill/>
                    <a:ln>
                      <a:noFill/>
                    </a:ln>
                  </pic:spPr>
                </pic:pic>
              </a:graphicData>
            </a:graphic>
          </wp:inline>
        </w:drawing>
      </w:r>
    </w:p>
    <w:p w:rsidR="00A06BD8" w:rsidRDefault="00A06BD8" w:rsidP="00E55DD3">
      <w:pPr>
        <w:autoSpaceDE w:val="0"/>
        <w:autoSpaceDN w:val="0"/>
        <w:adjustRightInd w:val="0"/>
        <w:spacing w:after="0" w:line="360" w:lineRule="auto"/>
        <w:ind w:firstLine="709"/>
        <w:jc w:val="both"/>
        <w:rPr>
          <w:rFonts w:ascii="Times New Roman" w:hAnsi="Times New Roman" w:cs="Times New Roman"/>
          <w:sz w:val="28"/>
          <w:szCs w:val="28"/>
        </w:rPr>
      </w:pPr>
      <w:r w:rsidRPr="00E55DD3">
        <w:rPr>
          <w:rFonts w:ascii="Times New Roman" w:hAnsi="Times New Roman" w:cs="Times New Roman"/>
          <w:sz w:val="28"/>
          <w:szCs w:val="28"/>
        </w:rPr>
        <w:t xml:space="preserve">Така система вирівнювання податкоспроможності є більш прогресивною, ніж система балансування, та має на меті сприяти зацікавленості місцевих органів влади до залучення додаткових надходжень та розширення наявної бази </w:t>
      </w:r>
      <w:r w:rsidRPr="00E55DD3">
        <w:rPr>
          <w:rFonts w:ascii="Times New Roman" w:hAnsi="Times New Roman" w:cs="Times New Roman"/>
          <w:sz w:val="28"/>
          <w:szCs w:val="28"/>
        </w:rPr>
        <w:lastRenderedPageBreak/>
        <w:t>оподаткування. Адже за нової моделі 50% суми</w:t>
      </w:r>
      <w:r w:rsidR="00E55DD3" w:rsidRPr="00E55DD3">
        <w:rPr>
          <w:rFonts w:ascii="Times New Roman" w:hAnsi="Times New Roman" w:cs="Times New Roman"/>
          <w:sz w:val="28"/>
          <w:szCs w:val="28"/>
        </w:rPr>
        <w:t xml:space="preserve"> </w:t>
      </w:r>
      <w:r w:rsidRPr="00E55DD3">
        <w:rPr>
          <w:rFonts w:ascii="Times New Roman" w:hAnsi="Times New Roman" w:cs="Times New Roman"/>
          <w:sz w:val="28"/>
          <w:szCs w:val="28"/>
        </w:rPr>
        <w:t>перевищення зараховується до державного бюджету, а не 100% як було</w:t>
      </w:r>
      <w:r w:rsidR="00E55DD3" w:rsidRPr="00E55DD3">
        <w:rPr>
          <w:rFonts w:ascii="Times New Roman" w:hAnsi="Times New Roman" w:cs="Times New Roman"/>
          <w:sz w:val="28"/>
          <w:szCs w:val="28"/>
        </w:rPr>
        <w:t xml:space="preserve"> </w:t>
      </w:r>
      <w:r w:rsidRPr="00E55DD3">
        <w:rPr>
          <w:rFonts w:ascii="Times New Roman" w:hAnsi="Times New Roman" w:cs="Times New Roman"/>
          <w:sz w:val="28"/>
          <w:szCs w:val="28"/>
        </w:rPr>
        <w:t>раніше.</w:t>
      </w:r>
      <w:r w:rsidRPr="00E8128C">
        <w:rPr>
          <w:rFonts w:ascii="Times New Roman" w:hAnsi="Times New Roman" w:cs="Times New Roman"/>
          <w:sz w:val="28"/>
          <w:szCs w:val="28"/>
        </w:rPr>
        <w:t xml:space="preserve"> </w:t>
      </w:r>
    </w:p>
    <w:p w:rsidR="00E55DD3" w:rsidRDefault="00E55DD3" w:rsidP="00E55DD3">
      <w:pPr>
        <w:spacing w:after="0" w:line="360" w:lineRule="auto"/>
        <w:jc w:val="center"/>
        <w:rPr>
          <w:rFonts w:ascii="Times New Roman" w:hAnsi="Times New Roman" w:cs="Times New Roman"/>
          <w:b/>
          <w:sz w:val="28"/>
          <w:szCs w:val="28"/>
        </w:rPr>
      </w:pPr>
    </w:p>
    <w:p w:rsidR="00A06BD8" w:rsidRPr="00E55DD3" w:rsidRDefault="00E55DD3" w:rsidP="00E55DD3">
      <w:pPr>
        <w:spacing w:after="0" w:line="360" w:lineRule="auto"/>
        <w:jc w:val="center"/>
        <w:rPr>
          <w:rFonts w:ascii="Times New Roman" w:hAnsi="Times New Roman" w:cs="Times New Roman"/>
          <w:b/>
          <w:sz w:val="28"/>
          <w:szCs w:val="28"/>
        </w:rPr>
      </w:pPr>
      <w:r w:rsidRPr="00E55DD3">
        <w:rPr>
          <w:rFonts w:ascii="Times New Roman" w:hAnsi="Times New Roman" w:cs="Times New Roman"/>
          <w:b/>
          <w:sz w:val="28"/>
          <w:szCs w:val="28"/>
        </w:rPr>
        <w:t>Література</w:t>
      </w:r>
    </w:p>
    <w:p w:rsidR="00442109" w:rsidRPr="00442109" w:rsidRDefault="00442109" w:rsidP="00E55DD3">
      <w:pPr>
        <w:pStyle w:val="a4"/>
        <w:numPr>
          <w:ilvl w:val="0"/>
          <w:numId w:val="3"/>
        </w:numPr>
        <w:autoSpaceDE w:val="0"/>
        <w:autoSpaceDN w:val="0"/>
        <w:adjustRightInd w:val="0"/>
        <w:spacing w:after="0" w:line="360" w:lineRule="auto"/>
        <w:jc w:val="both"/>
        <w:rPr>
          <w:rFonts w:ascii="Times New Roman" w:hAnsi="Times New Roman" w:cs="Times New Roman"/>
          <w:sz w:val="28"/>
          <w:szCs w:val="28"/>
        </w:rPr>
      </w:pPr>
      <w:r w:rsidRPr="00442109">
        <w:rPr>
          <w:rFonts w:ascii="Times New Roman" w:hAnsi="Times New Roman" w:cs="Times New Roman"/>
          <w:sz w:val="28"/>
          <w:szCs w:val="28"/>
        </w:rPr>
        <w:t xml:space="preserve">Васильєва Н. В., </w:t>
      </w:r>
      <w:proofErr w:type="spellStart"/>
      <w:r w:rsidRPr="00442109">
        <w:rPr>
          <w:rFonts w:ascii="Times New Roman" w:hAnsi="Times New Roman" w:cs="Times New Roman"/>
          <w:sz w:val="28"/>
          <w:szCs w:val="28"/>
        </w:rPr>
        <w:t>Гринчук</w:t>
      </w:r>
      <w:proofErr w:type="spellEnd"/>
      <w:r w:rsidRPr="00442109">
        <w:rPr>
          <w:rFonts w:ascii="Times New Roman" w:hAnsi="Times New Roman" w:cs="Times New Roman"/>
          <w:sz w:val="28"/>
          <w:szCs w:val="28"/>
        </w:rPr>
        <w:t xml:space="preserve"> Н. М., Дерун Т. М., Куйбіда В. С., Ткачук А. Ф. Місцевий бюджет і фінансове забезпечення об’єднаної територіальної громади: </w:t>
      </w:r>
      <w:proofErr w:type="spellStart"/>
      <w:r w:rsidRPr="00442109">
        <w:rPr>
          <w:rFonts w:ascii="Times New Roman" w:hAnsi="Times New Roman" w:cs="Times New Roman"/>
          <w:sz w:val="28"/>
          <w:szCs w:val="28"/>
        </w:rPr>
        <w:t>навч</w:t>
      </w:r>
      <w:proofErr w:type="spellEnd"/>
      <w:r w:rsidRPr="00442109">
        <w:rPr>
          <w:rFonts w:ascii="Times New Roman" w:hAnsi="Times New Roman" w:cs="Times New Roman"/>
          <w:sz w:val="28"/>
          <w:szCs w:val="28"/>
        </w:rPr>
        <w:t xml:space="preserve">. </w:t>
      </w:r>
      <w:proofErr w:type="spellStart"/>
      <w:r w:rsidRPr="00442109">
        <w:rPr>
          <w:rFonts w:ascii="Times New Roman" w:hAnsi="Times New Roman" w:cs="Times New Roman"/>
          <w:sz w:val="28"/>
          <w:szCs w:val="28"/>
        </w:rPr>
        <w:t>посіб</w:t>
      </w:r>
      <w:proofErr w:type="spellEnd"/>
      <w:r w:rsidRPr="00442109">
        <w:rPr>
          <w:rFonts w:ascii="Times New Roman" w:hAnsi="Times New Roman" w:cs="Times New Roman"/>
          <w:sz w:val="28"/>
          <w:szCs w:val="28"/>
        </w:rPr>
        <w:t xml:space="preserve">. / [Н. В. Васильєва, Н. М. </w:t>
      </w:r>
      <w:proofErr w:type="spellStart"/>
      <w:r w:rsidRPr="00442109">
        <w:rPr>
          <w:rFonts w:ascii="Times New Roman" w:hAnsi="Times New Roman" w:cs="Times New Roman"/>
          <w:sz w:val="28"/>
          <w:szCs w:val="28"/>
        </w:rPr>
        <w:t>Гринчук</w:t>
      </w:r>
      <w:proofErr w:type="spellEnd"/>
      <w:r w:rsidRPr="00442109">
        <w:rPr>
          <w:rFonts w:ascii="Times New Roman" w:hAnsi="Times New Roman" w:cs="Times New Roman"/>
          <w:sz w:val="28"/>
          <w:szCs w:val="28"/>
        </w:rPr>
        <w:t>, Т. М. Дерун, В. С. Куйбіда, А. Ф. Ткачук] – К.: – 2017. – 119 с.</w:t>
      </w:r>
    </w:p>
    <w:p w:rsidR="00E55DD3" w:rsidRPr="00E55DD3" w:rsidRDefault="00E55DD3" w:rsidP="00E55DD3">
      <w:pPr>
        <w:pStyle w:val="a4"/>
        <w:numPr>
          <w:ilvl w:val="0"/>
          <w:numId w:val="3"/>
        </w:numPr>
        <w:autoSpaceDE w:val="0"/>
        <w:autoSpaceDN w:val="0"/>
        <w:adjustRightInd w:val="0"/>
        <w:spacing w:after="0" w:line="360" w:lineRule="auto"/>
        <w:jc w:val="both"/>
        <w:rPr>
          <w:rFonts w:ascii="Times New Roman" w:hAnsi="Times New Roman" w:cs="Times New Roman"/>
          <w:sz w:val="28"/>
          <w:szCs w:val="28"/>
        </w:rPr>
      </w:pPr>
      <w:proofErr w:type="spellStart"/>
      <w:r w:rsidRPr="00E55DD3">
        <w:rPr>
          <w:rFonts w:ascii="Times New Roman" w:hAnsi="Times New Roman" w:cs="Times New Roman"/>
          <w:bCs/>
          <w:sz w:val="28"/>
          <w:szCs w:val="28"/>
        </w:rPr>
        <w:t>Наталенко</w:t>
      </w:r>
      <w:proofErr w:type="spellEnd"/>
      <w:r w:rsidRPr="00E55DD3">
        <w:rPr>
          <w:rFonts w:ascii="Times New Roman" w:hAnsi="Times New Roman" w:cs="Times New Roman"/>
          <w:bCs/>
          <w:sz w:val="28"/>
          <w:szCs w:val="28"/>
        </w:rPr>
        <w:t xml:space="preserve"> Н.В. </w:t>
      </w:r>
      <w:r w:rsidRPr="00E55DD3">
        <w:rPr>
          <w:rFonts w:ascii="Times New Roman" w:hAnsi="Times New Roman" w:cs="Times New Roman"/>
          <w:bCs/>
          <w:i/>
          <w:iCs/>
          <w:sz w:val="28"/>
          <w:szCs w:val="28"/>
        </w:rPr>
        <w:t>Фінанси та бюджет об’єднаної громади (навчальний модуль)</w:t>
      </w:r>
      <w:r w:rsidRPr="00E55DD3">
        <w:rPr>
          <w:rFonts w:ascii="Times New Roman" w:hAnsi="Times New Roman" w:cs="Times New Roman"/>
          <w:b/>
          <w:bCs/>
          <w:i/>
          <w:iCs/>
          <w:sz w:val="28"/>
          <w:szCs w:val="28"/>
        </w:rPr>
        <w:t xml:space="preserve"> </w:t>
      </w:r>
      <w:r w:rsidRPr="00E55DD3">
        <w:rPr>
          <w:rFonts w:ascii="Times New Roman" w:hAnsi="Times New Roman" w:cs="Times New Roman"/>
          <w:sz w:val="28"/>
          <w:szCs w:val="28"/>
        </w:rPr>
        <w:t xml:space="preserve">/ Ніна </w:t>
      </w:r>
      <w:proofErr w:type="spellStart"/>
      <w:r w:rsidRPr="00E55DD3">
        <w:rPr>
          <w:rFonts w:ascii="Times New Roman" w:hAnsi="Times New Roman" w:cs="Times New Roman"/>
          <w:sz w:val="28"/>
          <w:szCs w:val="28"/>
        </w:rPr>
        <w:t>Наталенко</w:t>
      </w:r>
      <w:proofErr w:type="spellEnd"/>
      <w:r w:rsidRPr="00E55DD3">
        <w:rPr>
          <w:rFonts w:ascii="Times New Roman" w:hAnsi="Times New Roman" w:cs="Times New Roman"/>
          <w:sz w:val="28"/>
          <w:szCs w:val="28"/>
        </w:rPr>
        <w:t>. – К. : ІКЦ «Легальний статус», 2016. – 72 с.</w:t>
      </w:r>
    </w:p>
    <w:p w:rsidR="00E55DD3" w:rsidRPr="00E55DD3" w:rsidRDefault="00E55DD3" w:rsidP="00E55DD3">
      <w:pPr>
        <w:pStyle w:val="a4"/>
        <w:numPr>
          <w:ilvl w:val="0"/>
          <w:numId w:val="3"/>
        </w:numPr>
        <w:spacing w:after="0" w:line="360" w:lineRule="auto"/>
        <w:jc w:val="both"/>
        <w:rPr>
          <w:rStyle w:val="a3"/>
          <w:rFonts w:ascii="Times New Roman" w:hAnsi="Times New Roman" w:cs="Times New Roman"/>
          <w:color w:val="auto"/>
          <w:sz w:val="28"/>
          <w:szCs w:val="28"/>
          <w:u w:val="none"/>
        </w:rPr>
      </w:pPr>
      <w:r w:rsidRPr="00E55DD3">
        <w:rPr>
          <w:rFonts w:ascii="Times New Roman" w:hAnsi="Times New Roman" w:cs="Times New Roman"/>
          <w:sz w:val="28"/>
          <w:szCs w:val="28"/>
        </w:rPr>
        <w:t xml:space="preserve">Маркович </w:t>
      </w:r>
      <w:r>
        <w:rPr>
          <w:rFonts w:ascii="Times New Roman" w:hAnsi="Times New Roman" w:cs="Times New Roman"/>
          <w:sz w:val="28"/>
          <w:szCs w:val="28"/>
        </w:rPr>
        <w:t xml:space="preserve">Г. </w:t>
      </w:r>
      <w:r w:rsidRPr="00E55DD3">
        <w:rPr>
          <w:rFonts w:ascii="Times New Roman" w:hAnsi="Times New Roman" w:cs="Times New Roman"/>
          <w:sz w:val="28"/>
          <w:szCs w:val="28"/>
        </w:rPr>
        <w:t>Особливості формування бюджетів об’єднаних територіальних громад</w:t>
      </w:r>
      <w:r>
        <w:rPr>
          <w:rFonts w:ascii="Times New Roman" w:hAnsi="Times New Roman" w:cs="Times New Roman"/>
          <w:sz w:val="28"/>
          <w:szCs w:val="28"/>
        </w:rPr>
        <w:t xml:space="preserve"> / </w:t>
      </w:r>
      <w:r w:rsidRPr="00E55DD3">
        <w:rPr>
          <w:rFonts w:ascii="Times New Roman" w:hAnsi="Times New Roman" w:cs="Times New Roman"/>
          <w:sz w:val="28"/>
          <w:szCs w:val="28"/>
        </w:rPr>
        <w:t xml:space="preserve">Галина Маркович </w:t>
      </w:r>
      <w:r>
        <w:rPr>
          <w:rFonts w:ascii="Times New Roman" w:hAnsi="Times New Roman" w:cs="Times New Roman"/>
          <w:sz w:val="28"/>
          <w:szCs w:val="28"/>
        </w:rPr>
        <w:t xml:space="preserve">// </w:t>
      </w:r>
      <w:r w:rsidRPr="00E55DD3">
        <w:rPr>
          <w:rFonts w:ascii="Times New Roman" w:hAnsi="Times New Roman" w:cs="Times New Roman"/>
          <w:sz w:val="28"/>
          <w:szCs w:val="28"/>
        </w:rPr>
        <w:t>Інтернет-ресурс:</w:t>
      </w:r>
      <w:r>
        <w:t xml:space="preserve"> </w:t>
      </w:r>
      <w:hyperlink r:id="rId10" w:history="1">
        <w:r w:rsidR="00E8128C" w:rsidRPr="00E55DD3">
          <w:rPr>
            <w:rStyle w:val="a3"/>
            <w:rFonts w:ascii="Times New Roman" w:hAnsi="Times New Roman" w:cs="Times New Roman"/>
            <w:sz w:val="28"/>
            <w:szCs w:val="28"/>
          </w:rPr>
          <w:t>https://uteka.ua/ua/publication/budget-13-byudzhet-byudzhetnyj-process-planirovanie-primenenie-kekr-54-osobennosti-formirovaniya-byudzhetov-obedinennyx-territorialnyx-gromad</w:t>
        </w:r>
      </w:hyperlink>
    </w:p>
    <w:p w:rsidR="00E55DD3" w:rsidRPr="00E55DD3" w:rsidRDefault="00E55DD3" w:rsidP="00E55DD3">
      <w:pPr>
        <w:pStyle w:val="a4"/>
        <w:numPr>
          <w:ilvl w:val="0"/>
          <w:numId w:val="3"/>
        </w:numPr>
        <w:spacing w:after="0" w:line="360" w:lineRule="auto"/>
        <w:jc w:val="both"/>
        <w:rPr>
          <w:rFonts w:ascii="Times New Roman" w:hAnsi="Times New Roman" w:cs="Times New Roman"/>
          <w:sz w:val="28"/>
          <w:szCs w:val="28"/>
        </w:rPr>
      </w:pPr>
      <w:proofErr w:type="spellStart"/>
      <w:r w:rsidRPr="00E55DD3">
        <w:rPr>
          <w:rFonts w:ascii="Times New Roman" w:hAnsi="Times New Roman" w:cs="Times New Roman"/>
          <w:sz w:val="28"/>
          <w:szCs w:val="28"/>
          <w:shd w:val="clear" w:color="auto" w:fill="FFFFFF"/>
        </w:rPr>
        <w:t>Станкус</w:t>
      </w:r>
      <w:proofErr w:type="spellEnd"/>
      <w:r w:rsidRPr="00E55DD3">
        <w:rPr>
          <w:rFonts w:ascii="Times New Roman" w:hAnsi="Times New Roman" w:cs="Times New Roman"/>
          <w:sz w:val="28"/>
          <w:szCs w:val="28"/>
          <w:shd w:val="clear" w:color="auto" w:fill="FFFFFF"/>
        </w:rPr>
        <w:t xml:space="preserve"> Т</w:t>
      </w:r>
      <w:r>
        <w:rPr>
          <w:rFonts w:ascii="Times New Roman" w:hAnsi="Times New Roman" w:cs="Times New Roman"/>
          <w:sz w:val="28"/>
          <w:szCs w:val="28"/>
          <w:shd w:val="clear" w:color="auto" w:fill="FFFFFF"/>
        </w:rPr>
        <w:t>.</w:t>
      </w:r>
      <w:r w:rsidRPr="00E55DD3">
        <w:rPr>
          <w:rFonts w:ascii="Times New Roman" w:hAnsi="Times New Roman" w:cs="Times New Roman"/>
          <w:sz w:val="28"/>
          <w:szCs w:val="28"/>
          <w:shd w:val="clear" w:color="auto" w:fill="FFFFFF"/>
        </w:rPr>
        <w:t xml:space="preserve"> </w:t>
      </w:r>
      <w:r w:rsidRPr="00E55DD3">
        <w:rPr>
          <w:rFonts w:ascii="Times New Roman" w:hAnsi="Times New Roman" w:cs="Times New Roman"/>
          <w:sz w:val="28"/>
          <w:szCs w:val="28"/>
        </w:rPr>
        <w:t>Міжбюджетні трансферти: нюанси обліку</w:t>
      </w:r>
      <w:r>
        <w:rPr>
          <w:rFonts w:ascii="Times New Roman" w:hAnsi="Times New Roman" w:cs="Times New Roman"/>
          <w:sz w:val="28"/>
          <w:szCs w:val="28"/>
        </w:rPr>
        <w:t xml:space="preserve"> / </w:t>
      </w:r>
      <w:proofErr w:type="spellStart"/>
      <w:r w:rsidRPr="00E55DD3">
        <w:rPr>
          <w:rFonts w:ascii="Times New Roman" w:hAnsi="Times New Roman" w:cs="Times New Roman"/>
          <w:sz w:val="28"/>
          <w:szCs w:val="28"/>
          <w:shd w:val="clear" w:color="auto" w:fill="FFFFFF"/>
        </w:rPr>
        <w:t>Станкус</w:t>
      </w:r>
      <w:proofErr w:type="spellEnd"/>
      <w:r w:rsidRPr="00E55DD3">
        <w:rPr>
          <w:rFonts w:ascii="Times New Roman" w:hAnsi="Times New Roman" w:cs="Times New Roman"/>
          <w:sz w:val="28"/>
          <w:szCs w:val="28"/>
          <w:shd w:val="clear" w:color="auto" w:fill="FFFFFF"/>
        </w:rPr>
        <w:t xml:space="preserve"> Тетяна</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 </w:t>
      </w:r>
      <w:r w:rsidRPr="00E55DD3">
        <w:rPr>
          <w:rFonts w:ascii="Times New Roman" w:hAnsi="Times New Roman" w:cs="Times New Roman"/>
          <w:sz w:val="28"/>
          <w:szCs w:val="28"/>
        </w:rPr>
        <w:t>Інтернет-ресурс:</w:t>
      </w:r>
      <w:r>
        <w:rPr>
          <w:rFonts w:ascii="Times New Roman" w:hAnsi="Times New Roman" w:cs="Times New Roman"/>
          <w:sz w:val="28"/>
          <w:szCs w:val="28"/>
        </w:rPr>
        <w:t xml:space="preserve"> </w:t>
      </w:r>
      <w:hyperlink r:id="rId11" w:history="1">
        <w:r w:rsidRPr="00E55DD3">
          <w:rPr>
            <w:rStyle w:val="a3"/>
            <w:rFonts w:ascii="Times New Roman" w:hAnsi="Times New Roman" w:cs="Times New Roman"/>
            <w:sz w:val="28"/>
            <w:szCs w:val="28"/>
          </w:rPr>
          <w:t>https://i.factor.ua/ukr/journals/bb/2017/october/issue-37/article-30900.html</w:t>
        </w:r>
      </w:hyperlink>
    </w:p>
    <w:p w:rsidR="00171EDC" w:rsidRDefault="00171EDC" w:rsidP="00442109">
      <w:pPr>
        <w:pStyle w:val="a4"/>
        <w:spacing w:after="0" w:line="360" w:lineRule="auto"/>
        <w:jc w:val="both"/>
        <w:rPr>
          <w:rFonts w:ascii="Times New Roman" w:hAnsi="Times New Roman" w:cs="Times New Roman"/>
          <w:sz w:val="28"/>
          <w:szCs w:val="28"/>
        </w:rPr>
      </w:pPr>
    </w:p>
    <w:p w:rsidR="00E55DD3" w:rsidRPr="00E55DD3" w:rsidRDefault="00171EDC" w:rsidP="00171EDC">
      <w:pPr>
        <w:pStyle w:val="a4"/>
        <w:spacing w:after="0" w:line="360" w:lineRule="auto"/>
        <w:jc w:val="center"/>
        <w:rPr>
          <w:rFonts w:ascii="Times New Roman" w:hAnsi="Times New Roman" w:cs="Times New Roman"/>
          <w:sz w:val="28"/>
          <w:szCs w:val="28"/>
        </w:rPr>
      </w:pPr>
      <w:r w:rsidRPr="00171EDC">
        <w:rPr>
          <w:rFonts w:ascii="Times New Roman" w:hAnsi="Times New Roman" w:cs="Times New Roman"/>
          <w:color w:val="FF0000"/>
          <w:sz w:val="28"/>
          <w:szCs w:val="28"/>
        </w:rPr>
        <w:t xml:space="preserve">ДЕТАЛЬНІШІ ПРИКЛАДИ РОЗРАХУНКІВ У ФАЙЛІ </w:t>
      </w:r>
      <w:r w:rsidRPr="00171EDC">
        <w:rPr>
          <w:rFonts w:ascii="Times New Roman" w:hAnsi="Times New Roman" w:cs="Times New Roman"/>
          <w:b/>
          <w:color w:val="FF0000"/>
          <w:sz w:val="28"/>
          <w:szCs w:val="28"/>
          <w:highlight w:val="yellow"/>
        </w:rPr>
        <w:t xml:space="preserve">Розрахунок </w:t>
      </w:r>
      <w:proofErr w:type="spellStart"/>
      <w:r w:rsidRPr="00171EDC">
        <w:rPr>
          <w:rFonts w:ascii="Times New Roman" w:hAnsi="Times New Roman" w:cs="Times New Roman"/>
          <w:b/>
          <w:color w:val="FF0000"/>
          <w:sz w:val="28"/>
          <w:szCs w:val="28"/>
          <w:highlight w:val="yellow"/>
        </w:rPr>
        <w:t>finance</w:t>
      </w:r>
      <w:proofErr w:type="spellEnd"/>
      <w:r w:rsidRPr="00171EDC">
        <w:rPr>
          <w:rFonts w:ascii="Times New Roman" w:hAnsi="Times New Roman" w:cs="Times New Roman"/>
          <w:b/>
          <w:color w:val="FF0000"/>
          <w:sz w:val="28"/>
          <w:szCs w:val="28"/>
          <w:highlight w:val="yellow"/>
        </w:rPr>
        <w:t xml:space="preserve"> </w:t>
      </w:r>
      <w:proofErr w:type="spellStart"/>
      <w:r w:rsidRPr="00171EDC">
        <w:rPr>
          <w:rFonts w:ascii="Times New Roman" w:hAnsi="Times New Roman" w:cs="Times New Roman"/>
          <w:b/>
          <w:color w:val="FF0000"/>
          <w:sz w:val="28"/>
          <w:szCs w:val="28"/>
          <w:highlight w:val="yellow"/>
        </w:rPr>
        <w:t>отг</w:t>
      </w:r>
      <w:proofErr w:type="spellEnd"/>
      <w:r w:rsidRPr="00171EDC">
        <w:rPr>
          <w:rFonts w:ascii="Times New Roman" w:hAnsi="Times New Roman" w:cs="Times New Roman"/>
          <w:color w:val="FF0000"/>
          <w:sz w:val="28"/>
          <w:szCs w:val="28"/>
        </w:rPr>
        <w:t xml:space="preserve"> – Ст.11-12</w:t>
      </w:r>
      <w:r>
        <w:rPr>
          <w:rFonts w:ascii="Times New Roman" w:hAnsi="Times New Roman" w:cs="Times New Roman"/>
          <w:sz w:val="28"/>
          <w:szCs w:val="28"/>
        </w:rPr>
        <w:t>.</w:t>
      </w:r>
    </w:p>
    <w:sectPr w:rsidR="00E55DD3" w:rsidRPr="00E55D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6C0C"/>
    <w:multiLevelType w:val="hybridMultilevel"/>
    <w:tmpl w:val="52EA31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4377A3"/>
    <w:multiLevelType w:val="hybridMultilevel"/>
    <w:tmpl w:val="C96840F4"/>
    <w:lvl w:ilvl="0" w:tplc="0E1E16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4FED6E74"/>
    <w:multiLevelType w:val="hybridMultilevel"/>
    <w:tmpl w:val="885E21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8C"/>
    <w:rsid w:val="000643B3"/>
    <w:rsid w:val="00171EDC"/>
    <w:rsid w:val="00435E6A"/>
    <w:rsid w:val="00442109"/>
    <w:rsid w:val="005B07EA"/>
    <w:rsid w:val="00884E10"/>
    <w:rsid w:val="00896FC0"/>
    <w:rsid w:val="009925B5"/>
    <w:rsid w:val="00A06BD8"/>
    <w:rsid w:val="00B05423"/>
    <w:rsid w:val="00B80567"/>
    <w:rsid w:val="00DB48BC"/>
    <w:rsid w:val="00E55DD3"/>
    <w:rsid w:val="00E8128C"/>
    <w:rsid w:val="00FE54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5D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128C"/>
    <w:rPr>
      <w:color w:val="0000FF"/>
      <w:u w:val="single"/>
    </w:rPr>
  </w:style>
  <w:style w:type="paragraph" w:styleId="a4">
    <w:name w:val="List Paragraph"/>
    <w:basedOn w:val="a"/>
    <w:uiPriority w:val="34"/>
    <w:qFormat/>
    <w:rsid w:val="00E8128C"/>
    <w:pPr>
      <w:ind w:left="720"/>
      <w:contextualSpacing/>
    </w:pPr>
  </w:style>
  <w:style w:type="paragraph" w:styleId="a5">
    <w:name w:val="Normal (Web)"/>
    <w:basedOn w:val="a"/>
    <w:uiPriority w:val="99"/>
    <w:semiHidden/>
    <w:unhideWhenUsed/>
    <w:rsid w:val="000643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DB48BC"/>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DB48BC"/>
    <w:rPr>
      <w:rFonts w:ascii="Tahoma" w:hAnsi="Tahoma" w:cs="Tahoma"/>
      <w:sz w:val="16"/>
      <w:szCs w:val="16"/>
    </w:rPr>
  </w:style>
  <w:style w:type="character" w:styleId="a8">
    <w:name w:val="FollowedHyperlink"/>
    <w:basedOn w:val="a0"/>
    <w:uiPriority w:val="99"/>
    <w:semiHidden/>
    <w:unhideWhenUsed/>
    <w:rsid w:val="00E55DD3"/>
    <w:rPr>
      <w:color w:val="800080" w:themeColor="followedHyperlink"/>
      <w:u w:val="single"/>
    </w:rPr>
  </w:style>
  <w:style w:type="character" w:customStyle="1" w:styleId="10">
    <w:name w:val="Заголовок 1 Знак"/>
    <w:basedOn w:val="a0"/>
    <w:link w:val="1"/>
    <w:uiPriority w:val="9"/>
    <w:rsid w:val="00E55DD3"/>
    <w:rPr>
      <w:rFonts w:ascii="Times New Roman" w:eastAsia="Times New Roman" w:hAnsi="Times New Roman" w:cs="Times New Roman"/>
      <w:b/>
      <w:bCs/>
      <w:kern w:val="3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5D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128C"/>
    <w:rPr>
      <w:color w:val="0000FF"/>
      <w:u w:val="single"/>
    </w:rPr>
  </w:style>
  <w:style w:type="paragraph" w:styleId="a4">
    <w:name w:val="List Paragraph"/>
    <w:basedOn w:val="a"/>
    <w:uiPriority w:val="34"/>
    <w:qFormat/>
    <w:rsid w:val="00E8128C"/>
    <w:pPr>
      <w:ind w:left="720"/>
      <w:contextualSpacing/>
    </w:pPr>
  </w:style>
  <w:style w:type="paragraph" w:styleId="a5">
    <w:name w:val="Normal (Web)"/>
    <w:basedOn w:val="a"/>
    <w:uiPriority w:val="99"/>
    <w:semiHidden/>
    <w:unhideWhenUsed/>
    <w:rsid w:val="000643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DB48BC"/>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DB48BC"/>
    <w:rPr>
      <w:rFonts w:ascii="Tahoma" w:hAnsi="Tahoma" w:cs="Tahoma"/>
      <w:sz w:val="16"/>
      <w:szCs w:val="16"/>
    </w:rPr>
  </w:style>
  <w:style w:type="character" w:styleId="a8">
    <w:name w:val="FollowedHyperlink"/>
    <w:basedOn w:val="a0"/>
    <w:uiPriority w:val="99"/>
    <w:semiHidden/>
    <w:unhideWhenUsed/>
    <w:rsid w:val="00E55DD3"/>
    <w:rPr>
      <w:color w:val="800080" w:themeColor="followedHyperlink"/>
      <w:u w:val="single"/>
    </w:rPr>
  </w:style>
  <w:style w:type="character" w:customStyle="1" w:styleId="10">
    <w:name w:val="Заголовок 1 Знак"/>
    <w:basedOn w:val="a0"/>
    <w:link w:val="1"/>
    <w:uiPriority w:val="9"/>
    <w:rsid w:val="00E55DD3"/>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51238">
      <w:bodyDiv w:val="1"/>
      <w:marLeft w:val="0"/>
      <w:marRight w:val="0"/>
      <w:marTop w:val="0"/>
      <w:marBottom w:val="0"/>
      <w:divBdr>
        <w:top w:val="none" w:sz="0" w:space="0" w:color="auto"/>
        <w:left w:val="none" w:sz="0" w:space="0" w:color="auto"/>
        <w:bottom w:val="none" w:sz="0" w:space="0" w:color="auto"/>
        <w:right w:val="none" w:sz="0" w:space="0" w:color="auto"/>
      </w:divBdr>
    </w:div>
    <w:div w:id="213235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uk.wikipedia.org/wiki/%D0%94%D0%B5%D1%80%D0%B6%D0%B0%D0%B2%D0%BD%D0%B8%D0%B9_%D0%B1%D1%8E%D0%B4%D0%B6%D0%B5%D1%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ndex.php?title=%D0%91%D1%8E%D0%B4%D0%B6%D0%B5%D1%82%D0%B8_%D0%BC%D1%96%D1%81%D1%86%D0%B5%D0%B2%D0%BE%D0%B3%D0%BE_%D1%81%D0%B0%D0%BC%D0%BE%D0%B2%D1%80%D1%8F%D0%B4%D1%83%D0%B2%D0%B0%D0%BD%D0%BD%D1%8F&amp;action=edit&amp;redlink=1" TargetMode="External"/><Relationship Id="rId11" Type="http://schemas.openxmlformats.org/officeDocument/2006/relationships/hyperlink" Target="https://i.factor.ua/ukr/journals/bb/2017/october/issue-37/article-30900.html" TargetMode="External"/><Relationship Id="rId5" Type="http://schemas.openxmlformats.org/officeDocument/2006/relationships/webSettings" Target="webSettings.xml"/><Relationship Id="rId10" Type="http://schemas.openxmlformats.org/officeDocument/2006/relationships/hyperlink" Target="https://uteka.ua/ua/publication/budget-13-byudzhet-byudzhetnyj-process-planirovanie-primenenie-kekr-54-osobennosti-formirovaniya-byudzhetov-obedinennyx-territorialnyx-gromad"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6468</Words>
  <Characters>3687</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6</cp:revision>
  <dcterms:created xsi:type="dcterms:W3CDTF">2020-03-29T12:44:00Z</dcterms:created>
  <dcterms:modified xsi:type="dcterms:W3CDTF">2020-04-28T14:53:00Z</dcterms:modified>
</cp:coreProperties>
</file>