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44F5" w14:textId="77777777" w:rsidR="0055699F" w:rsidRDefault="00BE4045" w:rsidP="00BE404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Львівський національний університет імені Івана Франка</w:t>
      </w:r>
    </w:p>
    <w:p w14:paraId="69BC19E8" w14:textId="77777777" w:rsidR="00BE4045" w:rsidRDefault="00BE4045" w:rsidP="00BE404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Економічний факультет Кафедра обліку і аудиту</w:t>
      </w:r>
    </w:p>
    <w:p w14:paraId="703ACE3E" w14:textId="77777777" w:rsidR="00BE4045" w:rsidRDefault="00BE4045" w:rsidP="00BE4045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B070F1F" w14:textId="77777777" w:rsidR="00BE4045" w:rsidRDefault="00BE4045" w:rsidP="00BE404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ІСПИТ </w:t>
      </w:r>
    </w:p>
    <w:p w14:paraId="78DBCFA1" w14:textId="77777777" w:rsidR="00BE4045" w:rsidRPr="00DD030A" w:rsidRDefault="00BE4045" w:rsidP="005970A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з дисципліни </w:t>
      </w:r>
      <w:r w:rsidR="005970AA" w:rsidRPr="00DD030A">
        <w:rPr>
          <w:rFonts w:asciiTheme="majorBidi" w:hAnsiTheme="majorBidi" w:cstheme="majorBidi"/>
          <w:b/>
          <w:bCs/>
          <w:sz w:val="24"/>
          <w:szCs w:val="24"/>
          <w:lang w:val="ru-RU"/>
        </w:rPr>
        <w:t>“</w:t>
      </w:r>
      <w:r>
        <w:rPr>
          <w:rFonts w:asciiTheme="majorBidi" w:hAnsiTheme="majorBidi" w:cstheme="majorBidi"/>
          <w:b/>
          <w:bCs/>
          <w:sz w:val="24"/>
          <w:szCs w:val="24"/>
        </w:rPr>
        <w:t>Бухгалтерський облік</w:t>
      </w:r>
      <w:r w:rsidR="005970AA" w:rsidRPr="00DD030A">
        <w:rPr>
          <w:rFonts w:asciiTheme="majorBidi" w:hAnsiTheme="majorBidi" w:cstheme="majorBidi"/>
          <w:b/>
          <w:bCs/>
          <w:sz w:val="24"/>
          <w:szCs w:val="24"/>
          <w:lang w:val="ru-RU"/>
        </w:rPr>
        <w:t>”</w:t>
      </w:r>
    </w:p>
    <w:p w14:paraId="23B95C9C" w14:textId="77777777" w:rsidR="00C011BF" w:rsidRDefault="00C011BF" w:rsidP="00BE404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228FBC" w14:textId="77777777" w:rsidR="00C011BF" w:rsidRPr="00DD030A" w:rsidRDefault="00C011BF" w:rsidP="0055699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для студентів спеціальності  </w:t>
      </w:r>
      <w:r w:rsidR="00023857" w:rsidRPr="00023857">
        <w:rPr>
          <w:rFonts w:asciiTheme="majorBidi" w:hAnsiTheme="majorBidi" w:cstheme="majorBidi"/>
          <w:b/>
          <w:bCs/>
          <w:sz w:val="24"/>
          <w:szCs w:val="24"/>
        </w:rPr>
        <w:t xml:space="preserve">051 </w:t>
      </w:r>
      <w:r w:rsidR="005970AA" w:rsidRPr="00DD030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023857" w:rsidRPr="00023857">
        <w:rPr>
          <w:rFonts w:asciiTheme="majorBidi" w:hAnsiTheme="majorBidi" w:cstheme="majorBidi"/>
          <w:b/>
          <w:bCs/>
          <w:sz w:val="24"/>
          <w:szCs w:val="24"/>
        </w:rPr>
        <w:t>Економіка</w:t>
      </w:r>
      <w:r w:rsidR="005970AA" w:rsidRPr="00DD030A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14:paraId="5DF0E893" w14:textId="77777777" w:rsidR="00C011BF" w:rsidRPr="00DD030A" w:rsidRDefault="00C011BF" w:rsidP="005970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спеціалізації </w:t>
      </w:r>
      <w:r w:rsidR="005970AA" w:rsidRPr="00DD030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023857" w:rsidRPr="00023857">
        <w:rPr>
          <w:rFonts w:asciiTheme="majorBidi" w:hAnsiTheme="majorBidi" w:cstheme="majorBidi"/>
          <w:b/>
          <w:bCs/>
          <w:sz w:val="24"/>
          <w:szCs w:val="24"/>
        </w:rPr>
        <w:t>Економічна кібернетика</w:t>
      </w:r>
      <w:r w:rsidR="005970AA" w:rsidRPr="00DD030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023857" w:rsidRPr="00023857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0238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970AA" w:rsidRPr="00DD030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023857" w:rsidRPr="00023857">
        <w:rPr>
          <w:rFonts w:asciiTheme="majorBidi" w:hAnsiTheme="majorBidi" w:cstheme="majorBidi"/>
          <w:b/>
          <w:bCs/>
          <w:sz w:val="24"/>
          <w:szCs w:val="24"/>
        </w:rPr>
        <w:t>Економіка та правове регулювання в бізнесі</w:t>
      </w:r>
      <w:r w:rsidR="005970AA" w:rsidRPr="00DD030A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14:paraId="7E1741F7" w14:textId="77777777" w:rsidR="00023857" w:rsidRDefault="00023857" w:rsidP="000238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D4A9684" w14:textId="77777777" w:rsidR="00023857" w:rsidRDefault="00023857" w:rsidP="000238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Загальні положення щодо складання іспиту</w:t>
      </w:r>
    </w:p>
    <w:p w14:paraId="117D347A" w14:textId="77777777" w:rsidR="00023857" w:rsidRDefault="00023857" w:rsidP="005970A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3857">
        <w:rPr>
          <w:rFonts w:asciiTheme="majorBidi" w:hAnsiTheme="majorBidi" w:cstheme="majorBidi"/>
          <w:sz w:val="24"/>
          <w:szCs w:val="24"/>
        </w:rPr>
        <w:t xml:space="preserve">Кожному студентові доводиться індивідуальний варіант тестових завдань і задач. Екзаменаційний </w:t>
      </w:r>
      <w:r>
        <w:rPr>
          <w:rFonts w:asciiTheme="majorBidi" w:hAnsiTheme="majorBidi" w:cstheme="majorBidi"/>
          <w:sz w:val="24"/>
          <w:szCs w:val="24"/>
        </w:rPr>
        <w:t xml:space="preserve">білет  містить двадцять </w:t>
      </w:r>
      <w:r w:rsidRPr="00023857">
        <w:rPr>
          <w:rFonts w:asciiTheme="majorBidi" w:hAnsiTheme="majorBidi" w:cstheme="majorBidi"/>
          <w:sz w:val="24"/>
          <w:szCs w:val="24"/>
        </w:rPr>
        <w:t xml:space="preserve">тестових завдань і </w:t>
      </w:r>
      <w:r>
        <w:rPr>
          <w:rFonts w:asciiTheme="majorBidi" w:hAnsiTheme="majorBidi" w:cstheme="majorBidi"/>
          <w:sz w:val="24"/>
          <w:szCs w:val="24"/>
        </w:rPr>
        <w:t>дві</w:t>
      </w:r>
      <w:r w:rsidRPr="00023857">
        <w:rPr>
          <w:rFonts w:asciiTheme="majorBidi" w:hAnsiTheme="majorBidi" w:cstheme="majorBidi"/>
          <w:sz w:val="24"/>
          <w:szCs w:val="24"/>
        </w:rPr>
        <w:t xml:space="preserve"> задачі. Оцінювання знань здійснюється за </w:t>
      </w:r>
      <w:proofErr w:type="spellStart"/>
      <w:r w:rsidRPr="00023857">
        <w:rPr>
          <w:rFonts w:asciiTheme="majorBidi" w:hAnsiTheme="majorBidi" w:cstheme="majorBidi"/>
          <w:sz w:val="24"/>
          <w:szCs w:val="24"/>
        </w:rPr>
        <w:t>бально</w:t>
      </w:r>
      <w:proofErr w:type="spellEnd"/>
      <w:r w:rsidRPr="00023857">
        <w:rPr>
          <w:rFonts w:asciiTheme="majorBidi" w:hAnsiTheme="majorBidi" w:cstheme="majorBidi"/>
          <w:sz w:val="24"/>
          <w:szCs w:val="24"/>
        </w:rPr>
        <w:t xml:space="preserve">-кредитною системою, яка передбачає оцінку успішності студента за семестр – максимум 50 балів і оцінку за іспит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023857">
        <w:rPr>
          <w:rFonts w:asciiTheme="majorBidi" w:hAnsiTheme="majorBidi" w:cstheme="majorBidi"/>
          <w:sz w:val="24"/>
          <w:szCs w:val="24"/>
        </w:rPr>
        <w:t xml:space="preserve"> максимум 50 балів. Кожне правильно виконане тестове завдання відповідає </w:t>
      </w:r>
      <w:r w:rsidR="005970AA">
        <w:rPr>
          <w:rFonts w:asciiTheme="majorBidi" w:hAnsiTheme="majorBidi" w:cstheme="majorBidi"/>
          <w:sz w:val="24"/>
          <w:szCs w:val="24"/>
        </w:rPr>
        <w:t>2 балам</w:t>
      </w:r>
      <w:r w:rsidRPr="00023857">
        <w:rPr>
          <w:rFonts w:asciiTheme="majorBidi" w:hAnsiTheme="majorBidi" w:cstheme="majorBidi"/>
          <w:sz w:val="24"/>
          <w:szCs w:val="24"/>
        </w:rPr>
        <w:t xml:space="preserve">, відтак максимум отриманих за правильність виконання тестових завдань становить 30 балів. Задачі оцінюються кожна по </w:t>
      </w:r>
      <w:r w:rsidR="005970AA">
        <w:rPr>
          <w:rFonts w:asciiTheme="majorBidi" w:hAnsiTheme="majorBidi" w:cstheme="majorBidi"/>
          <w:sz w:val="24"/>
          <w:szCs w:val="24"/>
        </w:rPr>
        <w:t>10</w:t>
      </w:r>
      <w:r w:rsidRPr="00023857">
        <w:rPr>
          <w:rFonts w:asciiTheme="majorBidi" w:hAnsiTheme="majorBidi" w:cstheme="majorBidi"/>
          <w:sz w:val="24"/>
          <w:szCs w:val="24"/>
        </w:rPr>
        <w:t xml:space="preserve"> балів, тому максимум отриманих за правильність виконання задач становить 20 балів. За умови досягнення сукупного балу значень: від 90 – до 100, – набуті знання оцінюються “відмінно”; від 71-ого –</w:t>
      </w:r>
      <w:r w:rsidR="005970AA">
        <w:rPr>
          <w:rFonts w:asciiTheme="majorBidi" w:hAnsiTheme="majorBidi" w:cstheme="majorBidi"/>
          <w:sz w:val="24"/>
          <w:szCs w:val="24"/>
        </w:rPr>
        <w:t xml:space="preserve"> </w:t>
      </w:r>
      <w:r w:rsidRPr="00023857">
        <w:rPr>
          <w:rFonts w:asciiTheme="majorBidi" w:hAnsiTheme="majorBidi" w:cstheme="majorBidi"/>
          <w:sz w:val="24"/>
          <w:szCs w:val="24"/>
        </w:rPr>
        <w:t>до 89 балів – “добре”; 51-ого – до 69 балів – “задовільно”. У випадку недобору трьох балів до межі вищого оцінювання, студент має право на підвищення значення сукупного балу шляхом надання вичерпних відповідей на поставлені екзаменатором додаткові запитання в усній формі.</w:t>
      </w:r>
    </w:p>
    <w:p w14:paraId="0B52DCBA" w14:textId="77777777" w:rsidR="005970AA" w:rsidRDefault="005970AA" w:rsidP="005970A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04EA8C16" w14:textId="77777777" w:rsidR="005970AA" w:rsidRDefault="005970AA" w:rsidP="00597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ЕКЗАМЕНАЦІЙНИЙ БІЛЕТ № 1</w:t>
      </w:r>
    </w:p>
    <w:p w14:paraId="350CEA88" w14:textId="77777777" w:rsidR="005970AA" w:rsidRDefault="005970AA" w:rsidP="00597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B8E2245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</w:rPr>
      </w:pPr>
      <w:r w:rsidRPr="005970AA">
        <w:rPr>
          <w:rFonts w:asciiTheme="majorBidi" w:hAnsiTheme="majorBidi" w:cstheme="majorBidi"/>
          <w:b/>
          <w:i/>
          <w:sz w:val="24"/>
          <w:szCs w:val="24"/>
        </w:rPr>
        <w:t>1. Традиційно в Україні господарський облік поділяють на:</w:t>
      </w:r>
    </w:p>
    <w:p w14:paraId="26C59A1E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фінансовий, податковий, управлінський;</w:t>
      </w:r>
    </w:p>
    <w:p w14:paraId="05B63DB4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оперативний, статистичний, бухгалтерський;</w:t>
      </w:r>
    </w:p>
    <w:p w14:paraId="3B69DCD6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бухгалтерський, виробничий, управлінський;</w:t>
      </w:r>
    </w:p>
    <w:p w14:paraId="6749CB4A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немає правильної відповіді.</w:t>
      </w:r>
    </w:p>
    <w:p w14:paraId="1508D603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0F06FBCC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</w:rPr>
      </w:pPr>
      <w:r w:rsidRPr="005970AA">
        <w:rPr>
          <w:rFonts w:asciiTheme="majorBidi" w:hAnsiTheme="majorBidi" w:cstheme="majorBidi"/>
          <w:b/>
          <w:i/>
          <w:sz w:val="24"/>
          <w:szCs w:val="24"/>
        </w:rPr>
        <w:t>2. Бухгалтерський облік є складовою більш широкого поняття:</w:t>
      </w:r>
    </w:p>
    <w:p w14:paraId="19F67842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податковий облік;</w:t>
      </w:r>
    </w:p>
    <w:p w14:paraId="1F7049D4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фінансовий облік;</w:t>
      </w:r>
    </w:p>
    <w:p w14:paraId="31CD194A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господарський облік;</w:t>
      </w:r>
    </w:p>
    <w:p w14:paraId="24500C78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немає правильної відповіді.</w:t>
      </w:r>
    </w:p>
    <w:p w14:paraId="2DFB103E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13AADA4A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</w:rPr>
      </w:pPr>
      <w:r w:rsidRPr="005970AA">
        <w:rPr>
          <w:rFonts w:asciiTheme="majorBidi" w:hAnsiTheme="majorBidi" w:cstheme="majorBidi"/>
          <w:b/>
          <w:i/>
          <w:sz w:val="24"/>
          <w:szCs w:val="24"/>
        </w:rPr>
        <w:t>3. Облік, який надає інформацію про кількісну характеристику якісно визначених масових явищ і процесів у визначених умовах часу і простору, називається:</w:t>
      </w:r>
    </w:p>
    <w:p w14:paraId="1C851277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аналітичним;</w:t>
      </w:r>
    </w:p>
    <w:p w14:paraId="382220F2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зведеним;</w:t>
      </w:r>
    </w:p>
    <w:p w14:paraId="1056A2DB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статистичним;</w:t>
      </w:r>
    </w:p>
    <w:p w14:paraId="66B27536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немає правильної відповіді.</w:t>
      </w:r>
    </w:p>
    <w:p w14:paraId="674787A9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3E2C3F94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</w:rPr>
      </w:pPr>
      <w:r w:rsidRPr="005970AA">
        <w:rPr>
          <w:rFonts w:asciiTheme="majorBidi" w:hAnsiTheme="majorBidi" w:cstheme="majorBidi"/>
          <w:b/>
          <w:i/>
          <w:sz w:val="24"/>
          <w:szCs w:val="24"/>
        </w:rPr>
        <w:t>4. Не є етапами (стадіями) господарського обліку:</w:t>
      </w:r>
    </w:p>
    <w:p w14:paraId="428FDACC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спостереження, вимірювання;</w:t>
      </w:r>
    </w:p>
    <w:p w14:paraId="23C98945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групування і узагальнення;</w:t>
      </w:r>
    </w:p>
    <w:p w14:paraId="05A3E8A6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реєстрація фактів господарського життя;</w:t>
      </w:r>
    </w:p>
    <w:p w14:paraId="7C20CDD7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lastRenderedPageBreak/>
        <w:t>г) немає правильної відповіді.</w:t>
      </w:r>
    </w:p>
    <w:p w14:paraId="1185B163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50F2D53E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</w:rPr>
      </w:pPr>
      <w:r w:rsidRPr="005970AA">
        <w:rPr>
          <w:rFonts w:asciiTheme="majorBidi" w:hAnsiTheme="majorBidi" w:cstheme="majorBidi"/>
          <w:b/>
          <w:i/>
          <w:sz w:val="24"/>
          <w:szCs w:val="24"/>
        </w:rPr>
        <w:t>5. У якому пункті наведені тільки господарські засоби:</w:t>
      </w:r>
    </w:p>
    <w:p w14:paraId="0EEB80CC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сировина та матеріали, кошти в касі, статутний капітал;</w:t>
      </w:r>
    </w:p>
    <w:p w14:paraId="7BB8BA58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заборгованість постачальникам за поставлені матеріальні цінності;</w:t>
      </w:r>
    </w:p>
    <w:p w14:paraId="78D1B08F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дебіторська заборгованість покупців, сировина та матеріали, будівлі;</w:t>
      </w:r>
    </w:p>
    <w:p w14:paraId="1F6F620D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усі відповіді правильні?</w:t>
      </w:r>
    </w:p>
    <w:p w14:paraId="0F114931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2531A6AF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</w:rPr>
      </w:pPr>
      <w:r w:rsidRPr="005970AA">
        <w:rPr>
          <w:rFonts w:asciiTheme="majorBidi" w:hAnsiTheme="majorBidi" w:cstheme="majorBidi"/>
          <w:b/>
          <w:i/>
          <w:sz w:val="24"/>
          <w:szCs w:val="24"/>
        </w:rPr>
        <w:t>6. У якому пункті наведені тільки джерела утворення господарських засобів:</w:t>
      </w:r>
    </w:p>
    <w:p w14:paraId="7CD43ECB" w14:textId="77777777" w:rsidR="005970AA" w:rsidRPr="005970AA" w:rsidRDefault="005970AA" w:rsidP="005970A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земля, статутний капітал, зобов'язання;</w:t>
      </w:r>
    </w:p>
    <w:p w14:paraId="7579ECED" w14:textId="77777777" w:rsidR="005970AA" w:rsidRPr="005970AA" w:rsidRDefault="005970AA" w:rsidP="005970A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незавершене виробництво, резерв оплати відпускних, заборгованість перед робітниками з оплати праці;</w:t>
      </w:r>
    </w:p>
    <w:p w14:paraId="6183319D" w14:textId="77777777" w:rsidR="005970AA" w:rsidRPr="005970AA" w:rsidRDefault="005970AA" w:rsidP="005970A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власний капітал та витрати майбутніх періодів;</w:t>
      </w:r>
    </w:p>
    <w:p w14:paraId="01133512" w14:textId="77777777" w:rsidR="005970AA" w:rsidRPr="005970AA" w:rsidRDefault="005970AA" w:rsidP="005970A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власний капітал, цільове фінансування, кредиторська заборгованість постачальникам?</w:t>
      </w:r>
    </w:p>
    <w:p w14:paraId="58E7AFA1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4B49A741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sz w:val="24"/>
          <w:szCs w:val="24"/>
        </w:rPr>
      </w:pPr>
      <w:r w:rsidRPr="005970AA">
        <w:rPr>
          <w:rFonts w:asciiTheme="majorBidi" w:hAnsiTheme="majorBidi" w:cstheme="majorBidi"/>
          <w:b/>
          <w:sz w:val="24"/>
          <w:szCs w:val="24"/>
        </w:rPr>
        <w:t>7. Господарська операція це:</w:t>
      </w:r>
    </w:p>
    <w:p w14:paraId="63A23FE7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дія або подія, яка викликає зміни в структурі активів та зобов'язань, власному капіталі підприємства;</w:t>
      </w:r>
    </w:p>
    <w:p w14:paraId="627A7235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дія яка викликає зміни в структурі активів підприємства;</w:t>
      </w:r>
    </w:p>
    <w:p w14:paraId="0E7C4DAC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подія яка викликає зміни в структурі капіталу підприємства;</w:t>
      </w:r>
    </w:p>
    <w:p w14:paraId="51BC80F9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дія або подія, яка викликає зміни в структурі зобов'язань підприємства;</w:t>
      </w:r>
    </w:p>
    <w:p w14:paraId="47ACA0DB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44A3C794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</w:rPr>
      </w:pPr>
      <w:r w:rsidRPr="005970AA">
        <w:rPr>
          <w:rFonts w:asciiTheme="majorBidi" w:hAnsiTheme="majorBidi" w:cstheme="majorBidi"/>
          <w:b/>
          <w:i/>
          <w:sz w:val="24"/>
          <w:szCs w:val="24"/>
        </w:rPr>
        <w:t>8. До господарських операцій відносяться:</w:t>
      </w:r>
    </w:p>
    <w:p w14:paraId="5A2C4052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придбання товарів у постачальників для продажу;</w:t>
      </w:r>
    </w:p>
    <w:p w14:paraId="6EAC7589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переведення робітника на інше робоче місце;</w:t>
      </w:r>
    </w:p>
    <w:p w14:paraId="6925EA40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видання наказу про преміювання працівників;</w:t>
      </w:r>
    </w:p>
    <w:p w14:paraId="6E987F3A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економія матеріалів за рахунок зменшення норм витрат.</w:t>
      </w:r>
    </w:p>
    <w:p w14:paraId="6B55B613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5236E738" w14:textId="77777777" w:rsidR="005970AA" w:rsidRPr="005970AA" w:rsidRDefault="005970AA" w:rsidP="005970AA">
      <w:pPr>
        <w:pStyle w:val="1"/>
        <w:ind w:firstLine="567"/>
        <w:rPr>
          <w:rFonts w:asciiTheme="majorBidi" w:hAnsiTheme="majorBidi" w:cstheme="majorBidi"/>
        </w:rPr>
      </w:pPr>
      <w:r w:rsidRPr="005970AA">
        <w:rPr>
          <w:rFonts w:asciiTheme="majorBidi" w:hAnsiTheme="majorBidi" w:cstheme="majorBidi"/>
        </w:rPr>
        <w:t>9. Найбільш ліквідними активами є:</w:t>
      </w:r>
    </w:p>
    <w:p w14:paraId="1F5133FA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виробничі запаси;</w:t>
      </w:r>
    </w:p>
    <w:p w14:paraId="0943AF20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товари;</w:t>
      </w:r>
    </w:p>
    <w:p w14:paraId="04A22609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нематеріальні активи;</w:t>
      </w:r>
    </w:p>
    <w:p w14:paraId="5B99DEB7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еквіваленти грошових коштів.</w:t>
      </w:r>
    </w:p>
    <w:p w14:paraId="3901FC34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1C353C0C" w14:textId="77777777" w:rsidR="005970AA" w:rsidRPr="005970AA" w:rsidRDefault="005970AA" w:rsidP="005970AA">
      <w:pPr>
        <w:pStyle w:val="1"/>
        <w:ind w:firstLine="567"/>
        <w:rPr>
          <w:rFonts w:asciiTheme="majorBidi" w:hAnsiTheme="majorBidi" w:cstheme="majorBidi"/>
        </w:rPr>
      </w:pPr>
      <w:r w:rsidRPr="005970AA">
        <w:rPr>
          <w:rFonts w:asciiTheme="majorBidi" w:hAnsiTheme="majorBidi" w:cstheme="majorBidi"/>
        </w:rPr>
        <w:t>10. Форма балансу в Україні:</w:t>
      </w:r>
    </w:p>
    <w:p w14:paraId="414D5414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визначається підприємством самостійно;</w:t>
      </w:r>
    </w:p>
    <w:p w14:paraId="4E9F5430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є уніфікованою формою звітності;</w:t>
      </w:r>
    </w:p>
    <w:p w14:paraId="516D95DF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різна для кожного виду діяльності;</w:t>
      </w:r>
    </w:p>
    <w:p w14:paraId="741B5D15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залежить від форми власності підприємства, що його складає.</w:t>
      </w:r>
    </w:p>
    <w:p w14:paraId="58CEDCFF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130111E9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1</w:t>
      </w:r>
      <w:r w:rsidRPr="005970AA">
        <w:rPr>
          <w:rFonts w:asciiTheme="majorBidi" w:hAnsiTheme="majorBidi" w:cstheme="majorBidi"/>
          <w:b/>
          <w:i/>
          <w:sz w:val="24"/>
          <w:szCs w:val="24"/>
        </w:rPr>
        <w:t>1. Облікові регістри – це:</w:t>
      </w:r>
    </w:p>
    <w:p w14:paraId="2B18C102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спеціальні таблиці для узагальнення інформації із первинних документів;</w:t>
      </w:r>
    </w:p>
    <w:p w14:paraId="6FB12764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носії спеціального формату (паперові, електронні) у вигляді відомостей, ордерів, книг, журналів, машинограм тощо, призначені для хронологічного, систематичного або комбінованого нагромадження, групування та узагальнення інформації з первинних документів, що прийняті до обліку;</w:t>
      </w:r>
    </w:p>
    <w:p w14:paraId="7A4113F9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форми звітності підприємства;</w:t>
      </w:r>
    </w:p>
    <w:p w14:paraId="2DA81FFC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немає правильної відповіді.</w:t>
      </w:r>
    </w:p>
    <w:p w14:paraId="25DFC903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</w:rPr>
      </w:pPr>
    </w:p>
    <w:p w14:paraId="152F2FFD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1</w:t>
      </w:r>
      <w:r w:rsidRPr="005970AA">
        <w:rPr>
          <w:rFonts w:asciiTheme="majorBidi" w:hAnsiTheme="majorBidi" w:cstheme="majorBidi"/>
          <w:b/>
          <w:i/>
          <w:sz w:val="24"/>
          <w:szCs w:val="24"/>
        </w:rPr>
        <w:t>2. Регістри бухгалтерського обліку повинні мати такі основні реквізити:</w:t>
      </w:r>
    </w:p>
    <w:p w14:paraId="4E50C3B8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номер форми регістру, прізвище директора та головного бухгалтера;</w:t>
      </w:r>
    </w:p>
    <w:p w14:paraId="0B713646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мати назву, та місце де записувати господарські операції;</w:t>
      </w:r>
    </w:p>
    <w:p w14:paraId="113BD966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прізвище директора та головного бухгалтера, місце де записувати господарські операції, період реєстрації господарських операцій;</w:t>
      </w:r>
    </w:p>
    <w:p w14:paraId="400FD9D9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lastRenderedPageBreak/>
        <w:t>г) мати назву, період реєстрації господарських операцій, прізвища і підписи або інші дані, що дають змогу ідентифікувати осіб, які брали участь у їх складанні.</w:t>
      </w:r>
    </w:p>
    <w:p w14:paraId="3B2531B9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1CF16285" w14:textId="77777777" w:rsidR="005970AA" w:rsidRPr="005970AA" w:rsidRDefault="005970AA" w:rsidP="005970AA">
      <w:pPr>
        <w:pStyle w:val="1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5970AA">
        <w:rPr>
          <w:rFonts w:asciiTheme="majorBidi" w:hAnsiTheme="majorBidi" w:cstheme="majorBidi"/>
        </w:rPr>
        <w:t>3. Відповідальність за несвоєчасне складання облікових регістрів та недостовірність відображених у них даних несуть:</w:t>
      </w:r>
    </w:p>
    <w:p w14:paraId="735D59C3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керівник підприємства;</w:t>
      </w:r>
    </w:p>
    <w:p w14:paraId="5F4978B0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головний бухгалтер;</w:t>
      </w:r>
    </w:p>
    <w:p w14:paraId="20A7D2AE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особи, які склали та підписали ці облікові регістри;</w:t>
      </w:r>
    </w:p>
    <w:p w14:paraId="614A0F69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власник (власники) підприємства.</w:t>
      </w:r>
    </w:p>
    <w:p w14:paraId="713E23CE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77F08EEB" w14:textId="77777777" w:rsidR="005970AA" w:rsidRPr="005970AA" w:rsidRDefault="005970AA" w:rsidP="005970AA">
      <w:pPr>
        <w:pStyle w:val="1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5970AA">
        <w:rPr>
          <w:rFonts w:asciiTheme="majorBidi" w:hAnsiTheme="majorBidi" w:cstheme="majorBidi"/>
        </w:rPr>
        <w:t>4. Перенесення інформації з первинних документів до облікових регістрів повинно здійснюватися:</w:t>
      </w:r>
    </w:p>
    <w:p w14:paraId="62A7BB97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в міру її надходження до місця обробки;</w:t>
      </w:r>
    </w:p>
    <w:p w14:paraId="57D47130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в міру її надходження до місця обробки проте не пізніше терміну, що забезпечує своєчасну виплату заробітної плати;</w:t>
      </w:r>
    </w:p>
    <w:p w14:paraId="0C071668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в міру її надходження до місця обробки, проте не пізніше терміну складання бухгалтерської і статистичної звітності, декларацій і розрахунків;</w:t>
      </w:r>
    </w:p>
    <w:p w14:paraId="06F350B4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 xml:space="preserve">г) в міру її надходження до місця обробки, проте не пізніше терміну, що забезпечує своєчасну виплату заробітної плати, складання бухгалтерської і статистичної звітності, декларацій і розрахунків. </w:t>
      </w:r>
    </w:p>
    <w:p w14:paraId="3F6BB05B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215957EB" w14:textId="77777777" w:rsidR="005970AA" w:rsidRPr="005970AA" w:rsidRDefault="005970AA" w:rsidP="005970AA">
      <w:pPr>
        <w:pStyle w:val="1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5970AA">
        <w:rPr>
          <w:rFonts w:asciiTheme="majorBidi" w:hAnsiTheme="majorBidi" w:cstheme="majorBidi"/>
        </w:rPr>
        <w:t>5. Порядок ведення бухгалтерського обліку та складання фінансової звітності про виконання бюджетів та госпрозрахункових операцій бюджетних установ установлюється:</w:t>
      </w:r>
    </w:p>
    <w:p w14:paraId="7B8EA96F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а) Верховна Рада України;</w:t>
      </w:r>
    </w:p>
    <w:p w14:paraId="2B070A13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б) Міністерством фінансів України;</w:t>
      </w:r>
    </w:p>
    <w:p w14:paraId="481A5364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в) Державним казначейством України;</w:t>
      </w:r>
    </w:p>
    <w:p w14:paraId="34FE1106" w14:textId="77777777" w:rsid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>г) Національним банком України.</w:t>
      </w:r>
    </w:p>
    <w:p w14:paraId="11DFEA06" w14:textId="77777777" w:rsid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5621AFA9" w14:textId="77777777" w:rsidR="005970AA" w:rsidRPr="005970AA" w:rsidRDefault="005970AA" w:rsidP="005970AA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970AA">
        <w:rPr>
          <w:rFonts w:asciiTheme="majorBidi" w:hAnsiTheme="majorBidi" w:cstheme="majorBidi"/>
          <w:b/>
          <w:bCs/>
          <w:i/>
          <w:iCs/>
          <w:sz w:val="24"/>
          <w:szCs w:val="24"/>
        </w:rPr>
        <w:t>16. Дайте характеристику об'єктів обліку за всіма наведеними класифікаціями ознаками.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2126"/>
        <w:gridCol w:w="1276"/>
        <w:gridCol w:w="992"/>
        <w:gridCol w:w="851"/>
        <w:gridCol w:w="822"/>
      </w:tblGrid>
      <w:tr w:rsidR="005970AA" w:rsidRPr="005970AA" w14:paraId="008024E5" w14:textId="77777777" w:rsidTr="0055699F">
        <w:trPr>
          <w:tblHeader/>
        </w:trPr>
        <w:tc>
          <w:tcPr>
            <w:tcW w:w="454" w:type="dxa"/>
            <w:vMerge w:val="restart"/>
            <w:vAlign w:val="center"/>
          </w:tcPr>
          <w:p w14:paraId="655CCB2C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№ з/п</w:t>
            </w:r>
          </w:p>
        </w:tc>
        <w:tc>
          <w:tcPr>
            <w:tcW w:w="3118" w:type="dxa"/>
            <w:vMerge w:val="restart"/>
            <w:vAlign w:val="center"/>
          </w:tcPr>
          <w:p w14:paraId="33EB3C97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Об'єкт обліку</w:t>
            </w:r>
          </w:p>
        </w:tc>
        <w:tc>
          <w:tcPr>
            <w:tcW w:w="2126" w:type="dxa"/>
            <w:vMerge w:val="restart"/>
            <w:vAlign w:val="center"/>
          </w:tcPr>
          <w:p w14:paraId="62802C05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Господарський засіб (ГЗ) чи джерело утворення господарського засобу (ДУГЗ)</w:t>
            </w:r>
          </w:p>
        </w:tc>
        <w:tc>
          <w:tcPr>
            <w:tcW w:w="2268" w:type="dxa"/>
            <w:gridSpan w:val="2"/>
            <w:vAlign w:val="center"/>
          </w:tcPr>
          <w:p w14:paraId="6A259A60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Господарський засіб</w:t>
            </w:r>
          </w:p>
        </w:tc>
        <w:tc>
          <w:tcPr>
            <w:tcW w:w="1673" w:type="dxa"/>
            <w:gridSpan w:val="2"/>
            <w:vAlign w:val="center"/>
          </w:tcPr>
          <w:p w14:paraId="3FA0378E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Джерела утворення господарських засобів</w:t>
            </w:r>
          </w:p>
        </w:tc>
      </w:tr>
      <w:tr w:rsidR="005970AA" w:rsidRPr="005970AA" w14:paraId="632FC2E8" w14:textId="77777777" w:rsidTr="0055699F">
        <w:trPr>
          <w:cantSplit/>
          <w:trHeight w:val="1617"/>
          <w:tblHeader/>
        </w:trPr>
        <w:tc>
          <w:tcPr>
            <w:tcW w:w="454" w:type="dxa"/>
            <w:vMerge/>
            <w:vAlign w:val="center"/>
          </w:tcPr>
          <w:p w14:paraId="4F1424A8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2CF151A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D69641A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F323B98" w14:textId="77777777" w:rsidR="005970AA" w:rsidRPr="005970AA" w:rsidRDefault="005970AA" w:rsidP="005970A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Необоротні (довгострокові) засоби</w:t>
            </w:r>
          </w:p>
        </w:tc>
        <w:tc>
          <w:tcPr>
            <w:tcW w:w="992" w:type="dxa"/>
            <w:textDirection w:val="btLr"/>
            <w:vAlign w:val="center"/>
          </w:tcPr>
          <w:p w14:paraId="452523B0" w14:textId="77777777" w:rsidR="005970AA" w:rsidRPr="005970AA" w:rsidRDefault="005970AA" w:rsidP="005970A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Оборотні засоби</w:t>
            </w:r>
          </w:p>
        </w:tc>
        <w:tc>
          <w:tcPr>
            <w:tcW w:w="851" w:type="dxa"/>
            <w:textDirection w:val="btLr"/>
            <w:vAlign w:val="center"/>
          </w:tcPr>
          <w:p w14:paraId="3CD6FF50" w14:textId="77777777" w:rsidR="005970AA" w:rsidRPr="005970AA" w:rsidRDefault="005970AA" w:rsidP="005970A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Джерела власних засобів</w:t>
            </w:r>
          </w:p>
        </w:tc>
        <w:tc>
          <w:tcPr>
            <w:tcW w:w="822" w:type="dxa"/>
            <w:textDirection w:val="btLr"/>
            <w:vAlign w:val="center"/>
          </w:tcPr>
          <w:p w14:paraId="1F0D7AE1" w14:textId="77777777" w:rsidR="005970AA" w:rsidRPr="005970AA" w:rsidRDefault="005970AA" w:rsidP="005970A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Джерела залучених засобів</w:t>
            </w:r>
          </w:p>
        </w:tc>
      </w:tr>
      <w:tr w:rsidR="005970AA" w:rsidRPr="005970AA" w14:paraId="436A64A6" w14:textId="77777777" w:rsidTr="0055699F">
        <w:tc>
          <w:tcPr>
            <w:tcW w:w="454" w:type="dxa"/>
            <w:vAlign w:val="center"/>
          </w:tcPr>
          <w:p w14:paraId="3A552ED3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70F227BF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i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b/>
                <w:i/>
                <w:sz w:val="20"/>
                <w:szCs w:val="20"/>
                <w:lang w:eastAsia="uk-UA"/>
              </w:rPr>
              <w:t>Малоцінні та швидкозношувані предмети</w:t>
            </w:r>
          </w:p>
        </w:tc>
        <w:tc>
          <w:tcPr>
            <w:tcW w:w="2126" w:type="dxa"/>
            <w:vAlign w:val="center"/>
          </w:tcPr>
          <w:p w14:paraId="14EBB516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8ED9A5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4061D0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F53E5B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B660212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5970AA" w:rsidRPr="005970AA" w14:paraId="61EC9CB6" w14:textId="77777777" w:rsidTr="0055699F">
        <w:tc>
          <w:tcPr>
            <w:tcW w:w="454" w:type="dxa"/>
          </w:tcPr>
          <w:p w14:paraId="63A414BC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8BC67BC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>Нерозподілений прибуток</w:t>
            </w:r>
          </w:p>
        </w:tc>
        <w:tc>
          <w:tcPr>
            <w:tcW w:w="2126" w:type="dxa"/>
          </w:tcPr>
          <w:p w14:paraId="5EE45F4D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28FC2A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5EC661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ED3919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bottom"/>
          </w:tcPr>
          <w:p w14:paraId="56B46752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155A11AC" w14:textId="77777777" w:rsidTr="0055699F">
        <w:tc>
          <w:tcPr>
            <w:tcW w:w="454" w:type="dxa"/>
          </w:tcPr>
          <w:p w14:paraId="4D44EFD9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68B229BA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>Резервний капітал</w:t>
            </w:r>
          </w:p>
        </w:tc>
        <w:tc>
          <w:tcPr>
            <w:tcW w:w="2126" w:type="dxa"/>
          </w:tcPr>
          <w:p w14:paraId="15F7B2DE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5B082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15E78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B1E302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bottom"/>
          </w:tcPr>
          <w:p w14:paraId="1B5E8D29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4A1EC090" w14:textId="77777777" w:rsidTr="0055699F">
        <w:tc>
          <w:tcPr>
            <w:tcW w:w="454" w:type="dxa"/>
          </w:tcPr>
          <w:p w14:paraId="3B64BAAB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259FB07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>Тарні матеріали на складі підприємства</w:t>
            </w:r>
          </w:p>
        </w:tc>
        <w:tc>
          <w:tcPr>
            <w:tcW w:w="2126" w:type="dxa"/>
          </w:tcPr>
          <w:p w14:paraId="71000B44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D13BC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AAD9A7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6CCB04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bottom"/>
          </w:tcPr>
          <w:p w14:paraId="66B508C8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7E86544A" w14:textId="77777777" w:rsidTr="0055699F">
        <w:tc>
          <w:tcPr>
            <w:tcW w:w="454" w:type="dxa"/>
          </w:tcPr>
          <w:p w14:paraId="18CE4156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3BAD3EBC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>Меблі в офісі фабрики</w:t>
            </w:r>
          </w:p>
        </w:tc>
        <w:tc>
          <w:tcPr>
            <w:tcW w:w="2126" w:type="dxa"/>
          </w:tcPr>
          <w:p w14:paraId="004C7882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7CE46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710C00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64986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bottom"/>
          </w:tcPr>
          <w:p w14:paraId="429F90E4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772875D1" w14:textId="77777777" w:rsidTr="0055699F">
        <w:tc>
          <w:tcPr>
            <w:tcW w:w="454" w:type="dxa"/>
          </w:tcPr>
          <w:p w14:paraId="025C9672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350434C2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>Незавершені вироби в цехах</w:t>
            </w:r>
          </w:p>
        </w:tc>
        <w:tc>
          <w:tcPr>
            <w:tcW w:w="2126" w:type="dxa"/>
          </w:tcPr>
          <w:p w14:paraId="7D68C9CC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2875A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DF656E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430FB7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bottom"/>
          </w:tcPr>
          <w:p w14:paraId="09BEC8C2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3A40CBCE" w14:textId="77777777" w:rsidTr="0055699F">
        <w:tc>
          <w:tcPr>
            <w:tcW w:w="454" w:type="dxa"/>
          </w:tcPr>
          <w:p w14:paraId="663CCDBB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45AD740C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 xml:space="preserve">Заборгованість дебіторів </w:t>
            </w:r>
          </w:p>
        </w:tc>
        <w:tc>
          <w:tcPr>
            <w:tcW w:w="2126" w:type="dxa"/>
          </w:tcPr>
          <w:p w14:paraId="2A49C687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1FE89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9EB146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03ACA9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bottom"/>
          </w:tcPr>
          <w:p w14:paraId="3A03AE41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094C9D7F" w14:textId="77777777" w:rsidTr="0055699F">
        <w:tc>
          <w:tcPr>
            <w:tcW w:w="454" w:type="dxa"/>
          </w:tcPr>
          <w:p w14:paraId="62D76FA8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7DE3675B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>Будинок складу фабрики</w:t>
            </w:r>
          </w:p>
        </w:tc>
        <w:tc>
          <w:tcPr>
            <w:tcW w:w="2126" w:type="dxa"/>
          </w:tcPr>
          <w:p w14:paraId="1800FA68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3346E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4F5932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1DA91B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bottom"/>
          </w:tcPr>
          <w:p w14:paraId="01ED57C4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34DD093D" w14:textId="77777777" w:rsidTr="0055699F">
        <w:tc>
          <w:tcPr>
            <w:tcW w:w="454" w:type="dxa"/>
          </w:tcPr>
          <w:p w14:paraId="5B42D9D1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2EAB1F1A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>Готове взуття на складі</w:t>
            </w:r>
          </w:p>
        </w:tc>
        <w:tc>
          <w:tcPr>
            <w:tcW w:w="2126" w:type="dxa"/>
          </w:tcPr>
          <w:p w14:paraId="75D5007C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07F4D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4FF6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889E8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bottom"/>
          </w:tcPr>
          <w:p w14:paraId="0A3F2E39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5CA084EF" w14:textId="77777777" w:rsidTr="0055699F">
        <w:tc>
          <w:tcPr>
            <w:tcW w:w="454" w:type="dxa"/>
          </w:tcPr>
          <w:p w14:paraId="1EB83C68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1CF2340E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>Будинок складу паливно-мастильних матеріалів</w:t>
            </w:r>
          </w:p>
        </w:tc>
        <w:tc>
          <w:tcPr>
            <w:tcW w:w="2126" w:type="dxa"/>
          </w:tcPr>
          <w:p w14:paraId="12C3C180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2F8C1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6DF939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EFC50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bottom"/>
          </w:tcPr>
          <w:p w14:paraId="62226599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7E4623" w14:paraId="74AA6FF8" w14:textId="77777777" w:rsidTr="005970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350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969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>Будинок відпочинку підприємства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791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192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64F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E58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FEAAA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7E4623" w14:paraId="47C67AFF" w14:textId="77777777" w:rsidTr="005970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2BB" w14:textId="77777777" w:rsidR="005970AA" w:rsidRPr="005970AA" w:rsidRDefault="005970AA" w:rsidP="005970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0AB" w14:textId="77777777" w:rsidR="005970AA" w:rsidRPr="005970AA" w:rsidRDefault="005970AA" w:rsidP="005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  <w:lang w:eastAsia="uk-UA"/>
              </w:rPr>
              <w:t>Довгостроковий кредит банку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6B3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547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F33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92B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1E97" w14:textId="77777777" w:rsidR="005970AA" w:rsidRPr="005970AA" w:rsidRDefault="005970AA" w:rsidP="005970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24695118" w14:textId="77777777" w:rsidR="005970AA" w:rsidRPr="005970AA" w:rsidRDefault="005970AA" w:rsidP="005970AA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970AA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17. Визначити, як саме перераховані в таблиці господарські операції впливають на валюту бухгалтерського балансу:</w:t>
      </w:r>
    </w:p>
    <w:p w14:paraId="7758D1FE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970AA">
        <w:rPr>
          <w:rFonts w:asciiTheme="majorBidi" w:hAnsiTheme="majorBidi" w:cstheme="majorBidi"/>
          <w:b/>
          <w:bCs/>
          <w:i/>
          <w:iCs/>
          <w:sz w:val="24"/>
          <w:szCs w:val="24"/>
        </w:rPr>
        <w:t>1) збільшують валюту балансу;</w:t>
      </w:r>
    </w:p>
    <w:p w14:paraId="257CFA08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970AA">
        <w:rPr>
          <w:rFonts w:asciiTheme="majorBidi" w:hAnsiTheme="majorBidi" w:cstheme="majorBidi"/>
          <w:b/>
          <w:bCs/>
          <w:i/>
          <w:iCs/>
          <w:sz w:val="24"/>
          <w:szCs w:val="24"/>
        </w:rPr>
        <w:t>2) зменшують валюту балансу;</w:t>
      </w:r>
    </w:p>
    <w:p w14:paraId="4690C904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970AA">
        <w:rPr>
          <w:rFonts w:asciiTheme="majorBidi" w:hAnsiTheme="majorBidi" w:cstheme="majorBidi"/>
          <w:b/>
          <w:bCs/>
          <w:i/>
          <w:iCs/>
          <w:sz w:val="24"/>
          <w:szCs w:val="24"/>
        </w:rPr>
        <w:t>4) не змінюють валюту балансу.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5881"/>
        <w:gridCol w:w="851"/>
        <w:gridCol w:w="2381"/>
      </w:tblGrid>
      <w:tr w:rsidR="005970AA" w:rsidRPr="005970AA" w14:paraId="7608A4F5" w14:textId="77777777" w:rsidTr="0055699F">
        <w:trPr>
          <w:cantSplit/>
          <w:trHeight w:val="42"/>
          <w:tblHeader/>
        </w:trPr>
        <w:tc>
          <w:tcPr>
            <w:tcW w:w="526" w:type="dxa"/>
            <w:vAlign w:val="center"/>
          </w:tcPr>
          <w:p w14:paraId="3B7C7C90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№ з/п</w:t>
            </w:r>
          </w:p>
        </w:tc>
        <w:tc>
          <w:tcPr>
            <w:tcW w:w="5881" w:type="dxa"/>
            <w:vAlign w:val="center"/>
          </w:tcPr>
          <w:p w14:paraId="31C37F8C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Style w:val="FontStyle22"/>
                <w:rFonts w:asciiTheme="majorBidi" w:hAnsiTheme="majorBidi" w:cstheme="majorBidi"/>
                <w:sz w:val="20"/>
                <w:szCs w:val="20"/>
                <w:lang w:eastAsia="uk-UA"/>
              </w:rPr>
              <w:t>Зміст господарської операції</w:t>
            </w:r>
          </w:p>
        </w:tc>
        <w:tc>
          <w:tcPr>
            <w:tcW w:w="851" w:type="dxa"/>
          </w:tcPr>
          <w:p w14:paraId="3400F288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Сума, грн</w:t>
            </w:r>
          </w:p>
        </w:tc>
        <w:tc>
          <w:tcPr>
            <w:tcW w:w="2381" w:type="dxa"/>
            <w:vAlign w:val="center"/>
          </w:tcPr>
          <w:p w14:paraId="236508A0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b/>
                <w:sz w:val="20"/>
                <w:szCs w:val="20"/>
              </w:rPr>
              <w:t>Відповідь</w:t>
            </w:r>
          </w:p>
        </w:tc>
      </w:tr>
      <w:tr w:rsidR="005970AA" w:rsidRPr="005970AA" w14:paraId="3707709A" w14:textId="77777777" w:rsidTr="0055699F">
        <w:trPr>
          <w:cantSplit/>
        </w:trPr>
        <w:tc>
          <w:tcPr>
            <w:tcW w:w="526" w:type="dxa"/>
            <w:vAlign w:val="center"/>
          </w:tcPr>
          <w:p w14:paraId="44AD4C1B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81" w:type="dxa"/>
            <w:vAlign w:val="center"/>
          </w:tcPr>
          <w:p w14:paraId="474D8073" w14:textId="77777777" w:rsidR="005970AA" w:rsidRPr="005970AA" w:rsidRDefault="005970AA" w:rsidP="005970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i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Зараховано на поточний рахунок грошові кошти в рахунок погашення заборгованості покупців за відвантажену продукцію</w:t>
            </w:r>
          </w:p>
        </w:tc>
        <w:tc>
          <w:tcPr>
            <w:tcW w:w="851" w:type="dxa"/>
            <w:vAlign w:val="center"/>
          </w:tcPr>
          <w:p w14:paraId="0345910D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2381" w:type="dxa"/>
            <w:vAlign w:val="center"/>
          </w:tcPr>
          <w:p w14:paraId="1EDA47F6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44F74757" w14:textId="77777777" w:rsidTr="0055699F">
        <w:trPr>
          <w:cantSplit/>
        </w:trPr>
        <w:tc>
          <w:tcPr>
            <w:tcW w:w="526" w:type="dxa"/>
          </w:tcPr>
          <w:p w14:paraId="33779252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881" w:type="dxa"/>
          </w:tcPr>
          <w:p w14:paraId="0D352D7B" w14:textId="77777777" w:rsidR="005970AA" w:rsidRPr="005970AA" w:rsidRDefault="005970AA" w:rsidP="005970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Частина прибутку при його розподілі спрямована на збільшення резервного капіталу</w:t>
            </w:r>
          </w:p>
        </w:tc>
        <w:tc>
          <w:tcPr>
            <w:tcW w:w="851" w:type="dxa"/>
            <w:vAlign w:val="center"/>
          </w:tcPr>
          <w:p w14:paraId="4C1E8B6B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381" w:type="dxa"/>
          </w:tcPr>
          <w:p w14:paraId="4AD76981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463E62F4" w14:textId="77777777" w:rsidTr="0055699F">
        <w:trPr>
          <w:cantSplit/>
        </w:trPr>
        <w:tc>
          <w:tcPr>
            <w:tcW w:w="526" w:type="dxa"/>
          </w:tcPr>
          <w:p w14:paraId="5D78A766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881" w:type="dxa"/>
          </w:tcPr>
          <w:p w14:paraId="78BAE93D" w14:textId="77777777" w:rsidR="005970AA" w:rsidRPr="005970AA" w:rsidRDefault="005970AA" w:rsidP="005970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Перераховано з поточного рахунку суми в погашення заборгованості перед постачальниками за сировину</w:t>
            </w:r>
          </w:p>
        </w:tc>
        <w:tc>
          <w:tcPr>
            <w:tcW w:w="851" w:type="dxa"/>
            <w:vAlign w:val="center"/>
          </w:tcPr>
          <w:p w14:paraId="3592CCA9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2381" w:type="dxa"/>
          </w:tcPr>
          <w:p w14:paraId="5BC240D7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0064DDCF" w14:textId="77777777" w:rsidTr="0055699F">
        <w:trPr>
          <w:cantSplit/>
        </w:trPr>
        <w:tc>
          <w:tcPr>
            <w:tcW w:w="526" w:type="dxa"/>
          </w:tcPr>
          <w:p w14:paraId="6267053A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14:paraId="25407310" w14:textId="77777777" w:rsidR="005970AA" w:rsidRPr="005970AA" w:rsidRDefault="005970AA" w:rsidP="005970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Погашено отриманий раніше кредит з поточного рахунку</w:t>
            </w:r>
          </w:p>
        </w:tc>
        <w:tc>
          <w:tcPr>
            <w:tcW w:w="851" w:type="dxa"/>
            <w:vAlign w:val="center"/>
          </w:tcPr>
          <w:p w14:paraId="348B035B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2381" w:type="dxa"/>
          </w:tcPr>
          <w:p w14:paraId="540C8C07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7102F47E" w14:textId="77777777" w:rsidTr="0055699F">
        <w:trPr>
          <w:cantSplit/>
        </w:trPr>
        <w:tc>
          <w:tcPr>
            <w:tcW w:w="526" w:type="dxa"/>
          </w:tcPr>
          <w:p w14:paraId="389E0BF1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14:paraId="223CE9CE" w14:textId="77777777" w:rsidR="005970AA" w:rsidRPr="005970AA" w:rsidRDefault="005970AA" w:rsidP="005970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Оприбутковано в касу грошові кошти з поточного рахунку</w:t>
            </w:r>
          </w:p>
        </w:tc>
        <w:tc>
          <w:tcPr>
            <w:tcW w:w="851" w:type="dxa"/>
            <w:vAlign w:val="center"/>
          </w:tcPr>
          <w:p w14:paraId="15E2501E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381" w:type="dxa"/>
          </w:tcPr>
          <w:p w14:paraId="26283EEE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7D214CB7" w14:textId="77777777" w:rsidTr="0055699F">
        <w:trPr>
          <w:cantSplit/>
        </w:trPr>
        <w:tc>
          <w:tcPr>
            <w:tcW w:w="526" w:type="dxa"/>
          </w:tcPr>
          <w:p w14:paraId="196A8348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881" w:type="dxa"/>
          </w:tcPr>
          <w:p w14:paraId="263B1E3A" w14:textId="77777777" w:rsidR="005970AA" w:rsidRPr="005970AA" w:rsidRDefault="005970AA" w:rsidP="005970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3 каси виплачена заробітна плата персоналу підприємства</w:t>
            </w:r>
          </w:p>
        </w:tc>
        <w:tc>
          <w:tcPr>
            <w:tcW w:w="851" w:type="dxa"/>
            <w:vAlign w:val="center"/>
          </w:tcPr>
          <w:p w14:paraId="45034BF8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381" w:type="dxa"/>
          </w:tcPr>
          <w:p w14:paraId="2A864C13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5065C9D0" w14:textId="77777777" w:rsidTr="0055699F">
        <w:trPr>
          <w:cantSplit/>
        </w:trPr>
        <w:tc>
          <w:tcPr>
            <w:tcW w:w="526" w:type="dxa"/>
          </w:tcPr>
          <w:p w14:paraId="01890431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881" w:type="dxa"/>
          </w:tcPr>
          <w:p w14:paraId="00727B16" w14:textId="77777777" w:rsidR="005970AA" w:rsidRPr="005970AA" w:rsidRDefault="005970AA" w:rsidP="005970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3 каси видано готівку під звіт</w:t>
            </w:r>
          </w:p>
        </w:tc>
        <w:tc>
          <w:tcPr>
            <w:tcW w:w="851" w:type="dxa"/>
            <w:vAlign w:val="center"/>
          </w:tcPr>
          <w:p w14:paraId="42E89FB5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381" w:type="dxa"/>
          </w:tcPr>
          <w:p w14:paraId="7143C83D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970AA" w:rsidRPr="005970AA" w14:paraId="7AF067A6" w14:textId="77777777" w:rsidTr="0055699F">
        <w:trPr>
          <w:cantSplit/>
        </w:trPr>
        <w:tc>
          <w:tcPr>
            <w:tcW w:w="526" w:type="dxa"/>
          </w:tcPr>
          <w:p w14:paraId="6BFC21ED" w14:textId="77777777" w:rsidR="005970AA" w:rsidRPr="005970AA" w:rsidRDefault="005970AA" w:rsidP="005970AA">
            <w:pPr>
              <w:keepLines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881" w:type="dxa"/>
          </w:tcPr>
          <w:p w14:paraId="42AE7A7B" w14:textId="77777777" w:rsidR="005970AA" w:rsidRPr="005970AA" w:rsidRDefault="005970AA" w:rsidP="005970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sz w:val="20"/>
                <w:szCs w:val="20"/>
              </w:rPr>
              <w:t>Оприбутковані від постачальника на склад виробничі запаси з відстрочкою платежу</w:t>
            </w:r>
          </w:p>
        </w:tc>
        <w:tc>
          <w:tcPr>
            <w:tcW w:w="851" w:type="dxa"/>
            <w:vAlign w:val="center"/>
          </w:tcPr>
          <w:p w14:paraId="3A9DA46A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970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2381" w:type="dxa"/>
          </w:tcPr>
          <w:p w14:paraId="4CB94748" w14:textId="77777777" w:rsidR="005970AA" w:rsidRPr="005970AA" w:rsidRDefault="005970AA" w:rsidP="005970AA">
            <w:pPr>
              <w:keepLines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73C54AFB" w14:textId="77777777" w:rsidR="005970AA" w:rsidRPr="005970AA" w:rsidRDefault="005970AA" w:rsidP="005970A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72DA6CCD" w14:textId="77777777" w:rsidR="005970AA" w:rsidRPr="005970AA" w:rsidRDefault="005970AA" w:rsidP="005970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08CEAC9" w14:textId="77777777" w:rsidR="005970AA" w:rsidRPr="005970AA" w:rsidRDefault="005970AA" w:rsidP="005970AA">
      <w:pPr>
        <w:spacing w:after="0" w:line="240" w:lineRule="auto"/>
        <w:ind w:firstLine="284"/>
        <w:rPr>
          <w:rFonts w:asciiTheme="majorBidi" w:hAnsiTheme="majorBidi" w:cstheme="majorBidi"/>
          <w:i/>
          <w:iCs/>
          <w:sz w:val="24"/>
          <w:szCs w:val="24"/>
        </w:rPr>
      </w:pPr>
      <w:r w:rsidRPr="005970AA">
        <w:rPr>
          <w:rFonts w:asciiTheme="majorBidi" w:hAnsiTheme="majorBidi" w:cstheme="majorBidi"/>
          <w:i/>
          <w:iCs/>
          <w:sz w:val="24"/>
          <w:szCs w:val="24"/>
        </w:rPr>
        <w:t>Затверджено на засіданні кафедри обліку і аудиту, протокол №  від „  ” грудня 20..  року</w:t>
      </w:r>
    </w:p>
    <w:p w14:paraId="7917F3AA" w14:textId="77777777" w:rsidR="005970AA" w:rsidRDefault="005970AA" w:rsidP="005970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6EBA803" w14:textId="77777777" w:rsidR="005970AA" w:rsidRDefault="005970AA" w:rsidP="005970A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970AA">
        <w:rPr>
          <w:rFonts w:asciiTheme="majorBidi" w:hAnsiTheme="majorBidi" w:cstheme="majorBidi"/>
          <w:sz w:val="24"/>
          <w:szCs w:val="24"/>
        </w:rPr>
        <w:t xml:space="preserve">Завідувач кафедри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Pr="005970AA">
        <w:rPr>
          <w:rFonts w:asciiTheme="majorBidi" w:hAnsiTheme="majorBidi" w:cstheme="majorBidi"/>
          <w:sz w:val="24"/>
          <w:szCs w:val="24"/>
        </w:rPr>
        <w:t>проф. Ковалюк О.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70AA">
        <w:rPr>
          <w:rFonts w:asciiTheme="majorBidi" w:hAnsiTheme="majorBidi" w:cstheme="majorBidi"/>
          <w:sz w:val="24"/>
          <w:szCs w:val="24"/>
        </w:rPr>
        <w:t>М.</w:t>
      </w:r>
    </w:p>
    <w:p w14:paraId="39993A41" w14:textId="77777777" w:rsidR="005970AA" w:rsidRPr="005970AA" w:rsidRDefault="005970AA" w:rsidP="005970A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65CAE2C" w14:textId="77777777" w:rsidR="005970AA" w:rsidRPr="005970AA" w:rsidRDefault="005970AA" w:rsidP="005970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5970AA">
        <w:rPr>
          <w:rFonts w:asciiTheme="majorBidi" w:hAnsiTheme="majorBidi" w:cstheme="majorBidi"/>
          <w:sz w:val="24"/>
          <w:szCs w:val="24"/>
        </w:rPr>
        <w:t xml:space="preserve">Екзаменатор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  <w:r w:rsidRPr="005970A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проф</w:t>
      </w:r>
      <w:r w:rsidRPr="005970AA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Корягін М. В.</w:t>
      </w:r>
    </w:p>
    <w:p w14:paraId="6C92B0AA" w14:textId="77777777" w:rsidR="005970AA" w:rsidRPr="005970AA" w:rsidRDefault="005970AA" w:rsidP="00597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2904C10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4C2E7A5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3D52A6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987C7F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7ED1E4F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EB06E13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17BC3A4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40D446C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C068E8B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29743E4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01429B2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090370F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79CF70F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BBEE7A8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5C9FB17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0B259C7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52AF883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C8CB5E5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D2AF924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4A4C9F1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0E42A18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C2FCB2F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092BCA4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85BAF14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0586163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99D0BFA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8E136B5" w14:textId="77777777" w:rsidR="005970AA" w:rsidRDefault="005970AA" w:rsidP="005970AA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597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33BD8"/>
    <w:multiLevelType w:val="singleLevel"/>
    <w:tmpl w:val="29B0884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45"/>
    <w:rsid w:val="00023857"/>
    <w:rsid w:val="0024056E"/>
    <w:rsid w:val="00454B26"/>
    <w:rsid w:val="00495EA9"/>
    <w:rsid w:val="0055699F"/>
    <w:rsid w:val="005970AA"/>
    <w:rsid w:val="005B3DA0"/>
    <w:rsid w:val="00663A40"/>
    <w:rsid w:val="006E0921"/>
    <w:rsid w:val="00AF505E"/>
    <w:rsid w:val="00BA7A78"/>
    <w:rsid w:val="00BE4045"/>
    <w:rsid w:val="00C011BF"/>
    <w:rsid w:val="00C71BF5"/>
    <w:rsid w:val="00CD5A63"/>
    <w:rsid w:val="00DD030A"/>
    <w:rsid w:val="00EE7B94"/>
    <w:rsid w:val="00FA6806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722A"/>
  <w15:chartTrackingRefBased/>
  <w15:docId w15:val="{EAA985CB-A2AE-4639-A3F6-2FEEADC2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970AA"/>
    <w:pPr>
      <w:spacing w:after="0" w:line="240" w:lineRule="auto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10">
    <w:name w:val="Стиль1 Знак"/>
    <w:basedOn w:val="a0"/>
    <w:link w:val="1"/>
    <w:rsid w:val="005970AA"/>
    <w:rPr>
      <w:rFonts w:ascii="Times New Roman" w:hAnsi="Times New Roman" w:cs="Times New Roman"/>
      <w:b/>
      <w:i/>
      <w:sz w:val="24"/>
      <w:szCs w:val="24"/>
    </w:rPr>
  </w:style>
  <w:style w:type="character" w:customStyle="1" w:styleId="FontStyle22">
    <w:name w:val="Font Style22"/>
    <w:basedOn w:val="a0"/>
    <w:uiPriority w:val="99"/>
    <w:rsid w:val="005970AA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597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Чік</dc:creator>
  <cp:keywords/>
  <dc:description/>
  <cp:lastModifiedBy>Максим Корягин</cp:lastModifiedBy>
  <cp:revision>3</cp:revision>
  <dcterms:created xsi:type="dcterms:W3CDTF">2021-01-26T10:03:00Z</dcterms:created>
  <dcterms:modified xsi:type="dcterms:W3CDTF">2021-01-26T10:04:00Z</dcterms:modified>
</cp:coreProperties>
</file>