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4" w:rsidRDefault="005A72D4">
      <w:pPr>
        <w:spacing w:after="160" w:line="259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72D4" w:rsidRDefault="00527849">
      <w:pPr>
        <w:spacing w:after="160" w:line="259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527849">
        <w:rPr>
          <w:rFonts w:ascii="Garamond" w:eastAsia="Times New Roman" w:hAnsi="Garamond" w:cs="Garamond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20765" cy="8649242"/>
            <wp:effectExtent l="0" t="0" r="0" b="0"/>
            <wp:docPr id="2" name="Рисунок 2" descr="D:\силабуси\Титулки\Титулки_до_силабусів\Силабус_титулка_Белз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лабуси\Титулки\Титулки_до_силабусів\Силабус_титулка_Белз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A72D4">
        <w:rPr>
          <w:rFonts w:ascii="Garamond" w:eastAsia="Times New Roman" w:hAnsi="Garamond" w:cs="Garamond"/>
          <w:b/>
          <w:color w:val="000000"/>
          <w:sz w:val="28"/>
          <w:szCs w:val="28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5225B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B22568" w:rsidRPr="0095225B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спеціальності </w:t>
            </w:r>
            <w:r w:rsidR="0095225B">
              <w:rPr>
                <w:rFonts w:ascii="Times New Roman" w:hAnsi="Times New Roman"/>
              </w:rPr>
              <w:t>075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>
              <w:rPr>
                <w:rFonts w:ascii="Times New Roman" w:hAnsi="Times New Roman"/>
              </w:rPr>
              <w:t>Маркетинг</w:t>
            </w:r>
            <w:r w:rsidRPr="00CF678C">
              <w:rPr>
                <w:rFonts w:ascii="Times New Roman" w:hAnsi="Times New Roman"/>
              </w:rPr>
              <w:t>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007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00788D" w:rsidRPr="0000788D">
              <w:rPr>
                <w:rFonts w:ascii="Times New Roman" w:hAnsi="Times New Roman"/>
                <w:sz w:val="24"/>
              </w:rPr>
              <w:t xml:space="preserve">з питань концепції, </w:t>
            </w:r>
            <w:r w:rsidR="0000788D">
              <w:rPr>
                <w:rFonts w:ascii="Times New Roman" w:hAnsi="Times New Roman"/>
                <w:sz w:val="24"/>
              </w:rPr>
              <w:t xml:space="preserve">стратегії та практики </w:t>
            </w:r>
            <w:r w:rsidR="000B6821">
              <w:rPr>
                <w:rFonts w:ascii="Times New Roman" w:hAnsi="Times New Roman"/>
                <w:sz w:val="24"/>
              </w:rPr>
              <w:t>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511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788D">
              <w:rPr>
                <w:rFonts w:ascii="Times New Roman" w:hAnsi="Times New Roman"/>
              </w:rPr>
              <w:t>075</w:t>
            </w:r>
            <w:r w:rsidR="00986503" w:rsidRPr="00CF678C">
              <w:rPr>
                <w:rFonts w:ascii="Times New Roman" w:hAnsi="Times New Roman"/>
              </w:rPr>
              <w:t xml:space="preserve"> «</w:t>
            </w:r>
            <w:r w:rsidR="0000788D">
              <w:rPr>
                <w:rFonts w:ascii="Times New Roman" w:hAnsi="Times New Roman"/>
              </w:rPr>
              <w:t>Маркетинг</w:t>
            </w:r>
            <w:r w:rsidR="00986503" w:rsidRPr="00CF678C">
              <w:rPr>
                <w:rFonts w:ascii="Times New Roman" w:hAnsi="Times New Roman"/>
              </w:rPr>
              <w:t>»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B9720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5119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51199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0B6821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«Логістика» є формування системних знань і розуміння концептуальних основ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AD6E03">
              <w:rPr>
                <w:rFonts w:ascii="Times New Roman" w:hAnsi="Times New Roman"/>
                <w:b/>
                <w:bCs/>
                <w:spacing w:val="-6"/>
              </w:rPr>
              <w:t>Базова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Львів, економічний факультет Львівського національного університету імені Івана Франка, 2017. – 44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Л. 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посібник для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студ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вищ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закл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Л.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ДП: «Видавничий дім «Персонал», 2008. – 560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К. Основи логістики: навчальний посібник / К.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Л. Е. Жуковська – Одеса: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ОНАЗім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О. С. Попова, 2011. – 216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 Г. Логістика / А. Г. Кальченко. – К.: КНЕУ, 2006. – 284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Г.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А. Г. Кальченко. - К.: КНЕУ,  2002. – 148 с. 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Логістика. Основи теорії: Підручник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НУ: «Львівська політехніка», Інтелект-Захід, 2006. – 456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Логістика: компендіум і практикум: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Н. І. Чухрай, Н.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Чорнопильська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Кондор, 2006. – 340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А. Логістика: Підручник / М.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Центр учбової літератури, 2008. – 346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Н. 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Н.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М.Тюріна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І. В.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Гой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 В. Бабій. – К.: «Центр учбової літератури», 2015. – 392 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В. Є. Основи логістики: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В. Є.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Видавничий центр ЛНУ імені Івана Франка, 2012. – 211 с.</w:t>
            </w:r>
          </w:p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D6E03">
              <w:rPr>
                <w:rFonts w:ascii="Times New Roman" w:hAnsi="Times New Roman"/>
                <w:b/>
                <w:bCs/>
                <w:sz w:val="24"/>
              </w:rPr>
              <w:t>Допоміжна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lastRenderedPageBreak/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Визначення економічного розміру замовлення підприємствами роздрібної торгівлі // Вісник Львівського університету. Серія економічна. – 2015.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52. – С.27-31.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Василенко В. О. Виробничий (операційний) менеджмент: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В. О. Василенко, Т. І. Ткаченко. – К.: ЦУЛ, 2003. – 532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Власова Н. О. Формування ефективної закупівельної політики підприємств роздрібної торгівлі: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Н. О. Власова, Ю. В. Пономарьова. – Харків, 2003. – 144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Ф. Транспортні технології в системах логістики: Підручник / М. Ф.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П. Р.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Левковець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А. М. Ткаченко, О. С. Ігнатенко, Л.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Зайончик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Статник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ІНФОРМАВТОДОР. 2007. – 676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О.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Тридід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Г.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Азаренкова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С.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Мішина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Борисенко. – К.: Знання, 2008. – 566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Мате Э.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/ Мате Э.,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Тискье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Д.; – пер. 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франц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Куприенко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Изд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Дом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«Нева»; – М.: «ОЛМА-ПРЕСС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Инвест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», 2003. – 128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Модели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методы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теории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пособ.;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 В. С.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Лукинского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Питер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2007. – 448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Экономические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основы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:  [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]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– М.: ИНФРА - М. 2008. – 528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Пономарьова Ю. В. – [2-ге вид.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переб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тадоп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.] – К.: Центр навчальної літератури, 2005. – 328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В., Марченко І. М. Сучасний підхід до класифікації товарних запасів // Економіка: проблеми теорії та практики: з6. наук. праць. – Дніпропетровськ: ДНУ, 2004. - № 193. – С 663-670.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 Оцінка ефективності логістичної системи // Економіка: проблеми теорії та практики: з6. наук, праць. – Дніпропетровськ: ДНУ, 2004. – № 188. – С 97-101.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Логістичні витрати як основний критерій  ефективності логістичної системи // Вісник Національного технічного університету «Харківський політехнічний інститут": з6. наук. праць.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20. - Харків: НТУ «ХПГ", 2003. – С 114-117.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Управіління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логістикою: Розробка стратегій логістичних операцій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Алан, Ван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Хоук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Ремко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; [пер. з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В.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Сомило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]. – Дніпропетровськ: Баланс Бізнес Букс, 2007. – 368 с.</w:t>
            </w:r>
          </w:p>
          <w:p w:rsidR="00B22568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6E03">
              <w:rPr>
                <w:rFonts w:ascii="Times New Roman" w:hAnsi="Times New Roman"/>
                <w:sz w:val="24"/>
              </w:rPr>
              <w:t>Чухрай Н. Логістичне обслуговування: Підручник / Н. Чухрай. – Львів: НУ «Львівська політехніка», 2006. – 292 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050970" w:rsidP="00050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945F8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0B6821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поняття логістики, матеріального потоку, логістичних операцій; логістичних функцій; логістичних систем та логістичних ланцюгів; об’єкти логістики; етапи розвитку логістики; головні положення концепції логістики; показники, що характеризують матеріальні потоки; властивості логістичних систем; основні поняття закупівельної логістики; задачі закупівельної логістики; поняття виробничої логістики; порівняння традиційної і логістичної концепції організації виробництва; підходи до управління матеріальними потоками у виробничій логістиці. сутність розподільчої логістики; канали розподілу в логістиці; сутність і завдання транспортної логістики; інформаційні потоки у логістиці; принципи організації логістичної інформації;  поняття матеріальних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lastRenderedPageBreak/>
              <w:t>запасів, причини їх створення; види матеріальних запасів; системи управління матеріальними запасами; основні проблеми забезпечення ефективності складування; значення і сутність логістичного сервісу; показники стану обслуговування; підходи до оцінки ефективності логістичної системи</w:t>
            </w:r>
          </w:p>
          <w:p w:rsidR="00B22568" w:rsidRPr="006A6169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проводити прогнозування величини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матеріалопотоку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; використовувати різноманітні методи логістичних утворень; проводити управління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матеріалопотоком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 та інформаційним потоком; оптимізувати план виготовлення виробів; проводити побудування логістичних систем; визначати витрати на доставку різних вантажів автомобільним транспортом; виявляти найбільш впливові фактори на результати розподільчої логістики; прогнозувати внутрішньовиробничі логістичні операції відповідно до місця їх прикладення; навчитися оцінювати ефективність логістичних рішень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Логістика,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атеріальні запаси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функції,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>системи,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акупівельна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система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постачання «точно у термін»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иробнича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ягнуча»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онцепція МRР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KANBAN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«Оптимізована виробнича технологія»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огістична концепція «худе виробництво»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аркетингова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бутова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анал розподілу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 посередники,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озподільчий центр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ранспортна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і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нформаційна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фіксованим розміром замовлення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фіксованою періодичністю замовлення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визначеною періодичністю поповнення запасів до установленого рівня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«мінімум-максим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ум»,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VMI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огістичний сервіс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логістичні витрати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1" w:rsidRPr="006A6169" w:rsidRDefault="000B6821" w:rsidP="000B6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Схемі курсу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в кінці семестру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CE3518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>Вивчення дисципліни «Логістика» забезпечується отриманими знаннями з курсів: «Інформатика», «Основи економічної науки», «Мікроекономіка», «Мак</w:t>
            </w:r>
            <w:r>
              <w:rPr>
                <w:rFonts w:ascii="Times New Roman" w:hAnsi="Times New Roman"/>
                <w:sz w:val="24"/>
                <w:szCs w:val="24"/>
              </w:rPr>
              <w:t>роекономіка», «Вища математика»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системами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0F00B2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Deductor</w:t>
            </w:r>
            <w:proofErr w:type="spellEnd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2E5E0D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0B6821" w:rsidRPr="002E5E0D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0B6821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0B6821" w:rsidRPr="002E5E0D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100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Термін </w:t>
            </w:r>
            <w:r w:rsidRPr="00D914C9">
              <w:rPr>
                <w:rFonts w:ascii="Times New Roman" w:hAnsi="Times New Roman"/>
                <w:bCs/>
                <w:sz w:val="24"/>
                <w:szCs w:val="24"/>
              </w:rPr>
              <w:t xml:space="preserve">«логістика» у </w:t>
            </w: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>перекладі з інших мов означає: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широкому розумінні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вузькому розумінні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Об'єкти логістики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У логістиці основні (матеріальні) потоки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супутні потоки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Головна мета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iCs/>
                <w:sz w:val="24"/>
                <w:szCs w:val="24"/>
              </w:rPr>
              <w:t>Умови досягнення головної мети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Скільки виокремлюють етапів розвитку логістики?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Перший етап розвитку логістики припадає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Другий етап розвитку логістики припадає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Третій етап розвитку логістики припадає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першого етапу розвитку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другого етапу розвитку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третього етапу розвитку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Головні положення концепції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Логістику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масштабами розроблюваних проблем логістику поділяють на: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характером зон управління логістику поділяють на: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За характером господарської діяльності</w:t>
            </w:r>
            <w:r w:rsidRPr="003C6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логістику поділяють на: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Зовнішня логістика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Внутрішня логістика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Матеріальний потік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Елементарний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Інтегральний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Загальний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Стани матеріального потоку: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запаси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Основними показниками, що характеризують матеріальні потоки, є: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Напруженість матеріального потоку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матеріального потоку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потоки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призначенням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ритмічністю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предмета вивчення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Вхідний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Вихідний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Неперервний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Дискретний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Бліц-потік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Продуктовий 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Операційний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Ділянковий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Системний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Управління матеріальними потоками передбачає визначення параметрів траєкторії переміщення матеріалів, до яких належать: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операція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матеріальними потокам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Логістичні операції з інформаційними потокам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природою матеріального потоку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характером виконання робіт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переходом права власності на товар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спрямованістю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Односторонні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Двосторонні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Прямі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Зворотні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функція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основних логістичних функцій належать: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додаткових логістичних функцій належать: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Логістичний ланцюг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Властивості логістичних систем: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Складність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Ієрархічність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Цілісність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Структурованість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Рухливість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Адаптивність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системи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ознакою просторового обмеження логістичні систем поділяють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виду логістичних ланцюгів логістичні систем поділяють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з прямими зв'язками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Ешелонована (багаторівнева) логістична система 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Гнучка логістична система 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Виділяють такі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макрологістичні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мікрологістичної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Закупівельна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Заготівельна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Логістика постачання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вирішити завдання: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виконати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«зробити або купити» (задача МОВ,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Make-or-Buy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Problem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закупівлю»: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задачі МОВ («зробити або купити») такі чинники сприяють прийняттю рішення «за власне виробництво»: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Етапи вибору постачальників: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пошуку постачальників: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оцінки постачальників: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Розвиток постачальника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Показник «оптимальний (економічний) розмір замовлення» забезпечує мінімальне значення суми двох логістичних складових: 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Систему постачання «точно у термін» ще називають: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постачання «точно у термін»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Підходи до управління матеріальними потоками у рамках внутрішньовиробничих логістичних систем: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Штовхаюча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«Тягнуча» система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Концепція МRР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KANBAN належить до систем: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«Оптимізована виробнича технологія» (OPT) належить до систем: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Логістична концепція «худе виробництво» (LP)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Маркетингова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Збутова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мікрорівні (на рівні підприємства):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макрорівні: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збутової діяльності: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Канал розподілу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мережа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Довжина каналу розподілу визначається: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Канали розподілу можуть бути: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Типи торгових посередників у каналах розподілу: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Дилери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Дистриб'ютори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Комісіонери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Агенти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Розподільчий центр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стратегії розташування розподільчих складів: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Існують такі методи вибору варіанта розміщення розподільчих центрів: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повного перебору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Евристичний метод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центру ваги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пробної точки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Транспортна логістика вирішує комплекс завдань, пов'язаних із: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Існують такі основні види транспорту: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Виділяють такі основні фактори, які впливають на вибір виду транспорту: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Унімодальне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Інтермодальне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залізничного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залізничного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морського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морського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річкового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річкового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автомобільного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автомобільного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повітряного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повітряного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трубопровідного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трубопровідного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Загальний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Винятковий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Пільговий (знижений)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Місцевий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Повагонний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Тариф на перевезення вантажів дрібними й малотоннажними відправленнями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Контейнерний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автомобільному транспорті існують такі тарифні схеми: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Інформаційна логістика вирішує комплекс завдань, пов'язаних із: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Інформаційний потік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Зовнішній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Внутрішній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Горизонтальний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Вертикальний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повноти і придатності інформації для користувача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своєчасності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орієнтованості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гнучкості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придатності формату даних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Інформаційні системи поділяють на такі підсистеми: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Функціональна підсистема складається 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Забезпечувальна підсистема складається 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Планові інформаційні системи – це такі,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Диспозитивні (диспетчерські) інформаційні системи – це такі,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Виконавчі (оперативні) інформаційні системи – це такі,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Матеріальні запаси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 постачанні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Виробничі запаси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Товарні (збутові) запаси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Транспортні запаси (запаси в дорозі, транзитні запаси)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Запаси важкої переробки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Максимальний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Граничний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Гарантійний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Поточний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запасами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фіксованим розміром замовлення: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фіксованою періодичністю замовлення: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визначеною періодичністю поповнення запасів до установленого рівня: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«мінімум-максимум»: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VMI («запаси, що управляються продавцем»):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функції складів: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буферних запасі 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перевалки вантажів (термінали)призначені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Склади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комісіонування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зберігання 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У логістичній системі упакування виконує такі основні функції: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упакування у логістиці: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логістиці процес контейнеризації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Логістичний сервіс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Послуги передпродажного характеру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Логістичні послуги в процесі реалізації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послуг передпродажного характеру належать такі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логістичні послуги в процесі реалізації належать такі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 послуг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післяпродажного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характеру належать такі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Жорсткий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М’який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Прямий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Непрямий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Принципи логістичного сервісу: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обов'язковості пропозиції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необов'язковості використання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еластичності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зручності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раціональної цінової політики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інформаційної віддачі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Стан обслуговування характеризується такими групами індикаторів: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Індикатор стану обслуговування «корисність»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«логістичний цикл»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«гнучкість системи розподілу»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«усунення некоректного управління»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Індикатор стану обслуговування «оперативність» оцінюється такими показниками: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«якість» оцінюється такими показниками: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Критерії оцінки ефективності логістичної системи: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«витрати»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«задоволення споживачів/якість»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«час виконання замовлення»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Досконале замовлення – це організація роботи, яка відповідає таким нормативам: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Якість продукції характеризують: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складу логістичних витрат входять: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0B6821" w:rsidRPr="00CD1ED5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підтримку підсистеми інформаційного забезпечення визначають такі складові: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4F5ADA" w:rsidRPr="00FA04FC" w:rsidTr="002C0E4D">
        <w:tc>
          <w:tcPr>
            <w:tcW w:w="634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B22568" w:rsidRPr="00FA04FC" w:rsidRDefault="00D17ECA" w:rsidP="00D1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B22568" w:rsidRPr="00FA04FC" w:rsidRDefault="00B22568" w:rsidP="006E3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Логістика як інструмент ринкової економіки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Походження терміну «логістика».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логістики.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Об’єкти логістики.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 логістики.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Етапи розвитку логістики. </w:t>
            </w:r>
          </w:p>
          <w:p w:rsidR="006756BD" w:rsidRPr="00FA04FC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Головні положення концепції логістики. Види логістики.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5C4180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756BD" w:rsidRDefault="005B5EFE" w:rsidP="005B5EF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  <w:tab w:val="left" w:pos="736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О. С. Попова, 2011. – 216 с.</w:t>
            </w:r>
          </w:p>
          <w:p w:rsidR="005B5EFE" w:rsidRPr="005B5EFE" w:rsidRDefault="005B5EFE" w:rsidP="005B5EF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</w:tabs>
              <w:spacing w:after="0" w:line="240" w:lineRule="auto"/>
              <w:ind w:left="236" w:hanging="2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6E3277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генезис логістики в Україні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</w:tcPr>
          <w:p w:rsidR="006756BD" w:rsidRPr="00FA04FC" w:rsidRDefault="00826A59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5C4633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756BD" w:rsidRPr="00FA04FC" w:rsidRDefault="005C4633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826A59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озробити структуру сховища даних для задачі обліку реалізації товарів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наповнити сховище контрольними даними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Матеріальні потоки та логістичні операції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матеріального потоку.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Стани матеріального потоку.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Показники, що характеризують матеріальні потоки.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потоків.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операції.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логістичних операцій. </w:t>
            </w:r>
          </w:p>
          <w:p w:rsidR="00685482" w:rsidRPr="00FA04FC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функції.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6E3277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можливі логістичні функції промислових підприємств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Логістичні системи та логістичні ланцюги</w:t>
            </w:r>
          </w:p>
          <w:p w:rsidR="00416C85" w:rsidRPr="00416C85" w:rsidRDefault="00416C85" w:rsidP="00416C85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логістичних систем та логістичних ланцюгів. </w:t>
            </w:r>
          </w:p>
          <w:p w:rsidR="00416C85" w:rsidRPr="00416C85" w:rsidRDefault="00416C85" w:rsidP="00416C85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Властивості логістичних систем. Види логістичних систем.</w:t>
            </w:r>
          </w:p>
          <w:p w:rsidR="00685482" w:rsidRPr="00FA04FC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Бабій. – К.: «Центр учбової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D2557E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основні компоненти логістичної системи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2C0E4D">
        <w:tc>
          <w:tcPr>
            <w:tcW w:w="634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прогнозувати потребу товарів на наступний період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поняття закупівельної логістики. </w:t>
            </w:r>
          </w:p>
          <w:p w:rsidR="00685482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Завдання «зробити або купити».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83830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моделі Р. </w:t>
            </w:r>
            <w:proofErr w:type="spellStart"/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Вілсона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постачальника. 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Визначення економічного розміру замовлення. </w:t>
            </w:r>
          </w:p>
          <w:p w:rsidR="00685482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Система постачань «точно у термін» в закупівельній логістиці.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83830" w:rsidP="003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постачань «точно у термін»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2C0E4D">
        <w:tc>
          <w:tcPr>
            <w:tcW w:w="634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изначити економічний розмір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виробничої логістики.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Традиційна і логістична концепція організації виробництва.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застосування методів логістичного менеджменту. </w:t>
            </w:r>
          </w:p>
          <w:p w:rsidR="00685482" w:rsidRPr="00FA04FC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Організаційна структура логістики на підприємстві.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750EAE" w:rsidP="00750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радиційн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організації виробництва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Підходи до управління матеріальними потоками у виробничій логістиці.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Логістична концепція «MRP».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система KANBAN. </w:t>
            </w:r>
          </w:p>
          <w:p w:rsidR="00685482" w:rsidRPr="00FA04FC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концепція «Худе виробництво».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750EAE" w:rsidP="00750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особливості функціонування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концепції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«Оптимізована виробнича технологія»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2C0E4D">
        <w:tc>
          <w:tcPr>
            <w:tcW w:w="634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економічний факультет Львівського національного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виробничого плану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розподільчої логістики.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Канали розподілу в логістиці.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Функціональний цикл у фізичному розподілі. </w:t>
            </w:r>
          </w:p>
          <w:p w:rsidR="00685482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Організація діяльності структурних підрозділів, відповідальних за збут.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BF339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каналів розподілу в логістиці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посередники у каналах розподілу.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Розподільчі центри у логістичних ланцюгах.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Побудова системи розподілу.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19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BF339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Привести приклади та д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розподільчих центрів,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озв’язати задачу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Транспортна логістика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і завдання транспортної логістики. 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виду транспортного засобу. </w:t>
            </w:r>
          </w:p>
          <w:p w:rsidR="00197BEE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Транспортні тарифи.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О. С.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3F7C6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транспортних тарифів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Інформаційна логістика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Інформаційні потоки у логістиці.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організації логістичної інформації.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інформаційні системи.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3F7C6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Дати 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порівняльну характеристику логістичних інформаційних систем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транспортних перевезень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Матеріальні запаси, причини їх створення. 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запасів. </w:t>
            </w:r>
          </w:p>
          <w:p w:rsidR="00197BEE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Системи управління матеріальними запасами.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849D4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r w:rsidRPr="005849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систем управління матеріальними запасами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ABC-XYZ в управлінні матеріальними запасами. </w:t>
            </w:r>
          </w:p>
          <w:p w:rsidR="00197BEE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«Запаси, що управляються продавцем» (VMI).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849D4" w:rsidP="0058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D74DD1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матрицю ABC-XYZ-аналізу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Логістична організація складських процесів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Склади та їх функції.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проблеми забезпечення ефективності складування.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Логістичний процес на складі.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Упакування як засіб підвищення ефективності логістичних складських процесів.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4F5AD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типові системи складування та системи організації переробки вантажів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Логістичний сервіс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Значення і сутність логістичного сервісу.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 стану обслуговування.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Формування підсистеми логістичного сервісу.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Алгоритм логістичного сервісу підприємства.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Параметри і характеристика логістичного обслуговування.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DA" w:rsidRDefault="004F5ADA" w:rsidP="004F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Дати п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орівняльну характеристику головних показників стану обслуговування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год.</w:t>
            </w:r>
          </w:p>
          <w:p w:rsidR="00197BEE" w:rsidRPr="00FA04FC" w:rsidRDefault="00197BEE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асоціативні правила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та 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сформувати маркетингові стратегії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Ефективність логістичної системи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логістичної системи, підходи до її оцінки.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Управління логістичними витратами.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DA" w:rsidRPr="00FA04FC" w:rsidRDefault="004F5ADA" w:rsidP="004F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процес управління логістичними витратами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8"/>
  </w:num>
  <w:num w:numId="5">
    <w:abstractNumId w:val="18"/>
  </w:num>
  <w:num w:numId="6">
    <w:abstractNumId w:val="25"/>
  </w:num>
  <w:num w:numId="7">
    <w:abstractNumId w:val="10"/>
  </w:num>
  <w:num w:numId="8">
    <w:abstractNumId w:val="21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6"/>
  </w:num>
  <w:num w:numId="16">
    <w:abstractNumId w:val="15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22"/>
  </w:num>
  <w:num w:numId="26">
    <w:abstractNumId w:val="9"/>
  </w:num>
  <w:num w:numId="27">
    <w:abstractNumId w:val="17"/>
  </w:num>
  <w:num w:numId="28">
    <w:abstractNumId w:val="24"/>
  </w:num>
  <w:num w:numId="29">
    <w:abstractNumId w:val="8"/>
  </w:num>
  <w:num w:numId="30">
    <w:abstractNumId w:val="2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50970"/>
    <w:rsid w:val="00075261"/>
    <w:rsid w:val="000A40E9"/>
    <w:rsid w:val="000A6FA4"/>
    <w:rsid w:val="000B6821"/>
    <w:rsid w:val="000E2955"/>
    <w:rsid w:val="000F00B2"/>
    <w:rsid w:val="00100A0B"/>
    <w:rsid w:val="00143906"/>
    <w:rsid w:val="001670CD"/>
    <w:rsid w:val="00195508"/>
    <w:rsid w:val="00197BEE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83830"/>
    <w:rsid w:val="00386C41"/>
    <w:rsid w:val="003B2E08"/>
    <w:rsid w:val="003F7C6A"/>
    <w:rsid w:val="00416C85"/>
    <w:rsid w:val="004525D9"/>
    <w:rsid w:val="00473FB2"/>
    <w:rsid w:val="0048677E"/>
    <w:rsid w:val="00486BAA"/>
    <w:rsid w:val="004A2585"/>
    <w:rsid w:val="004F5ADA"/>
    <w:rsid w:val="0051199D"/>
    <w:rsid w:val="00516AC9"/>
    <w:rsid w:val="00527849"/>
    <w:rsid w:val="005521DB"/>
    <w:rsid w:val="0056379A"/>
    <w:rsid w:val="005840F1"/>
    <w:rsid w:val="005849D4"/>
    <w:rsid w:val="005A72D4"/>
    <w:rsid w:val="005B5EFE"/>
    <w:rsid w:val="005C4180"/>
    <w:rsid w:val="005C4633"/>
    <w:rsid w:val="005F64A5"/>
    <w:rsid w:val="00650975"/>
    <w:rsid w:val="006552D5"/>
    <w:rsid w:val="006756BD"/>
    <w:rsid w:val="006824B6"/>
    <w:rsid w:val="00685482"/>
    <w:rsid w:val="006905A4"/>
    <w:rsid w:val="006909DB"/>
    <w:rsid w:val="006A5F4B"/>
    <w:rsid w:val="006B694C"/>
    <w:rsid w:val="006E3277"/>
    <w:rsid w:val="0070119C"/>
    <w:rsid w:val="00750EAE"/>
    <w:rsid w:val="00793E76"/>
    <w:rsid w:val="007A2F63"/>
    <w:rsid w:val="007D0443"/>
    <w:rsid w:val="00826A59"/>
    <w:rsid w:val="00864455"/>
    <w:rsid w:val="00896117"/>
    <w:rsid w:val="008A43A5"/>
    <w:rsid w:val="008A4639"/>
    <w:rsid w:val="009249FD"/>
    <w:rsid w:val="00945F86"/>
    <w:rsid w:val="0094793F"/>
    <w:rsid w:val="00947AAE"/>
    <w:rsid w:val="0095225B"/>
    <w:rsid w:val="0096300A"/>
    <w:rsid w:val="00971F64"/>
    <w:rsid w:val="009807EE"/>
    <w:rsid w:val="00986503"/>
    <w:rsid w:val="009B21A1"/>
    <w:rsid w:val="009D6793"/>
    <w:rsid w:val="00A20DD3"/>
    <w:rsid w:val="00A61D71"/>
    <w:rsid w:val="00A773CF"/>
    <w:rsid w:val="00A9716B"/>
    <w:rsid w:val="00AB1056"/>
    <w:rsid w:val="00AC272B"/>
    <w:rsid w:val="00AD6E03"/>
    <w:rsid w:val="00B22568"/>
    <w:rsid w:val="00B47E45"/>
    <w:rsid w:val="00B533D5"/>
    <w:rsid w:val="00B924E5"/>
    <w:rsid w:val="00B97201"/>
    <w:rsid w:val="00BB3926"/>
    <w:rsid w:val="00BF339A"/>
    <w:rsid w:val="00C00FA4"/>
    <w:rsid w:val="00C32B35"/>
    <w:rsid w:val="00C3667A"/>
    <w:rsid w:val="00CA5E86"/>
    <w:rsid w:val="00CD1ED5"/>
    <w:rsid w:val="00CE3518"/>
    <w:rsid w:val="00CF678C"/>
    <w:rsid w:val="00D17ECA"/>
    <w:rsid w:val="00D2557E"/>
    <w:rsid w:val="00D32E60"/>
    <w:rsid w:val="00D5247A"/>
    <w:rsid w:val="00D62907"/>
    <w:rsid w:val="00D74DD1"/>
    <w:rsid w:val="00D76FDF"/>
    <w:rsid w:val="00D84C68"/>
    <w:rsid w:val="00D875D7"/>
    <w:rsid w:val="00DC557D"/>
    <w:rsid w:val="00E04FC2"/>
    <w:rsid w:val="00E3575C"/>
    <w:rsid w:val="00E77CFB"/>
    <w:rsid w:val="00EE648F"/>
    <w:rsid w:val="00F04DC8"/>
    <w:rsid w:val="00F2116D"/>
    <w:rsid w:val="00F23A01"/>
    <w:rsid w:val="00F40B7A"/>
    <w:rsid w:val="00F60E6E"/>
    <w:rsid w:val="00F67152"/>
    <w:rsid w:val="00F73FBD"/>
    <w:rsid w:val="00FA04FC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21235</Words>
  <Characters>12105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123</cp:revision>
  <dcterms:created xsi:type="dcterms:W3CDTF">2020-09-21T21:44:00Z</dcterms:created>
  <dcterms:modified xsi:type="dcterms:W3CDTF">2021-10-13T12:43:00Z</dcterms:modified>
</cp:coreProperties>
</file>