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824D" w14:textId="77777777" w:rsidR="00273885" w:rsidRPr="00A30B1E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39B7A5FB" w14:textId="77777777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МІНІСТЕРСТВО ОСВІТИ І НАУКИ УКРАЇНИ</w:t>
      </w:r>
    </w:p>
    <w:p w14:paraId="55675823" w14:textId="77777777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14:paraId="78AD1B44" w14:textId="77777777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Факультет економічний</w:t>
      </w:r>
    </w:p>
    <w:p w14:paraId="23FBF6C4" w14:textId="77777777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Кафедра економічної теорії</w:t>
      </w:r>
    </w:p>
    <w:p w14:paraId="143688CF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2B2B3E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26AC4A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AC4049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2B3392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>Затверджено</w:t>
      </w:r>
    </w:p>
    <w:p w14:paraId="6366360A" w14:textId="52FD0FE9" w:rsidR="00273885" w:rsidRPr="00273885" w:rsidRDefault="002850BA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273885" w:rsidRPr="00273885">
        <w:rPr>
          <w:rFonts w:ascii="Times New Roman" w:eastAsia="Times New Roman" w:hAnsi="Times New Roman"/>
          <w:sz w:val="24"/>
          <w:szCs w:val="24"/>
        </w:rPr>
        <w:t>а засіданні кафедри економічної теорії</w:t>
      </w:r>
    </w:p>
    <w:p w14:paraId="6333FAD7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>факультету економічного</w:t>
      </w:r>
    </w:p>
    <w:p w14:paraId="5C2B08CF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9FDCCF4" w14:textId="6D156FD0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 xml:space="preserve">(протокол № 1 від </w:t>
      </w:r>
      <w:r w:rsidR="002850BA">
        <w:rPr>
          <w:rFonts w:ascii="Times New Roman" w:eastAsia="Times New Roman" w:hAnsi="Times New Roman"/>
          <w:sz w:val="24"/>
          <w:szCs w:val="24"/>
        </w:rPr>
        <w:t>31 серпня</w:t>
      </w:r>
      <w:r w:rsidRPr="00273885">
        <w:rPr>
          <w:rFonts w:ascii="Times New Roman" w:eastAsia="Times New Roman" w:hAnsi="Times New Roman"/>
          <w:sz w:val="24"/>
          <w:szCs w:val="24"/>
        </w:rPr>
        <w:t>. 202</w:t>
      </w:r>
      <w:r w:rsidR="002850BA">
        <w:rPr>
          <w:rFonts w:ascii="Times New Roman" w:eastAsia="Times New Roman" w:hAnsi="Times New Roman"/>
          <w:sz w:val="24"/>
          <w:szCs w:val="24"/>
        </w:rPr>
        <w:t>2</w:t>
      </w:r>
      <w:r w:rsidRPr="00273885">
        <w:rPr>
          <w:rFonts w:ascii="Times New Roman" w:eastAsia="Times New Roman" w:hAnsi="Times New Roman"/>
          <w:sz w:val="24"/>
          <w:szCs w:val="24"/>
        </w:rPr>
        <w:t xml:space="preserve"> р.)</w:t>
      </w:r>
    </w:p>
    <w:p w14:paraId="18ACB217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14:paraId="3438E32A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14:paraId="056F8EB0" w14:textId="425239B6" w:rsid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 xml:space="preserve">Завідувач кафедри ____________________ </w:t>
      </w:r>
    </w:p>
    <w:p w14:paraId="677CCEBC" w14:textId="5F256F2F" w:rsidR="00A2255E" w:rsidRPr="00273885" w:rsidRDefault="00A2255E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23C1B3E8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1F8713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8DBBCC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6A370F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CF0BE6" w14:textId="77777777" w:rsidR="00273885" w:rsidRPr="00273885" w:rsidRDefault="00273885" w:rsidP="002738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8083B0A" w14:textId="7C1BD046" w:rsidR="00273885" w:rsidRPr="00273885" w:rsidRDefault="00273885" w:rsidP="002738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273885">
        <w:rPr>
          <w:rFonts w:ascii="Times New Roman" w:eastAsia="Times New Roman" w:hAnsi="Times New Roman"/>
          <w:b/>
          <w:bCs/>
          <w:sz w:val="28"/>
          <w:szCs w:val="28"/>
        </w:rPr>
        <w:t>Силабус</w:t>
      </w:r>
      <w:proofErr w:type="spellEnd"/>
      <w:r w:rsidRPr="00273885">
        <w:rPr>
          <w:rFonts w:ascii="Times New Roman" w:eastAsia="Times New Roman" w:hAnsi="Times New Roman"/>
          <w:b/>
          <w:bCs/>
          <w:sz w:val="28"/>
          <w:szCs w:val="28"/>
        </w:rPr>
        <w:t xml:space="preserve"> з навчальної дисципліни «</w:t>
      </w:r>
      <w:r w:rsidR="00A2255E">
        <w:rPr>
          <w:rFonts w:ascii="Times New Roman" w:eastAsia="Times New Roman" w:hAnsi="Times New Roman"/>
          <w:b/>
          <w:bCs/>
          <w:sz w:val="28"/>
          <w:szCs w:val="28"/>
        </w:rPr>
        <w:t>Виробнича практика</w:t>
      </w:r>
      <w:r w:rsidRPr="00273885">
        <w:rPr>
          <w:rFonts w:ascii="Times New Roman" w:eastAsia="Times New Roman" w:hAnsi="Times New Roman"/>
          <w:b/>
          <w:bCs/>
          <w:sz w:val="28"/>
          <w:szCs w:val="28"/>
        </w:rPr>
        <w:t>»,</w:t>
      </w:r>
    </w:p>
    <w:p w14:paraId="4ECDC938" w14:textId="77777777" w:rsidR="00273885" w:rsidRPr="00273885" w:rsidRDefault="00273885" w:rsidP="002738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73885">
        <w:rPr>
          <w:rFonts w:ascii="Times New Roman" w:eastAsia="Times New Roman" w:hAnsi="Times New Roman"/>
          <w:b/>
          <w:bCs/>
          <w:sz w:val="28"/>
          <w:szCs w:val="28"/>
        </w:rPr>
        <w:t>що викладається в межах ОПП (ОПН) першого (бакалаврського) рівня вищої освіти для здобувачів з спеціальності 051 напряму підготовки «Бізнес-економіки»</w:t>
      </w:r>
    </w:p>
    <w:p w14:paraId="47AD5A56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6F6BC8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86CFFE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E6122D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540617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7A6D9B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CBB790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4DEAA6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2FCC41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BBAD75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FA4529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3BFFD9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D30C62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8F02AA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65FF5B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0250D3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E397C7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428110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5E1F80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EB3F6E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D0ED8" w14:textId="42E1E45D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Львів 202</w:t>
      </w:r>
      <w:r w:rsidR="002850BA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 xml:space="preserve"> р.</w:t>
      </w:r>
    </w:p>
    <w:p w14:paraId="655F2A91" w14:textId="77777777" w:rsidR="00273885" w:rsidRDefault="00273885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F0DC10" w14:textId="77777777" w:rsidR="00273885" w:rsidRDefault="00273885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49370E0E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7294"/>
      </w:tblGrid>
      <w:tr w:rsidR="007C2E9A" w:rsidRPr="006A6169" w14:paraId="1640CDC6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0A6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B2F" w14:textId="5BB9625F" w:rsidR="006A6169" w:rsidRPr="00273885" w:rsidRDefault="00A2255E" w:rsidP="007C2E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Виробнича практика</w:t>
            </w:r>
          </w:p>
        </w:tc>
      </w:tr>
      <w:tr w:rsidR="007C2E9A" w:rsidRPr="006A6169" w14:paraId="7E6C7E8A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D449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A69" w14:textId="63AA3B4F" w:rsidR="00A2255E" w:rsidRDefault="00A2255E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14:paraId="0636C692" w14:textId="71FFC52E" w:rsidR="006A6169" w:rsidRPr="006A6169" w:rsidRDefault="00273885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79000 м. Львів,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просп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. Свободи 18</w:t>
            </w:r>
          </w:p>
        </w:tc>
      </w:tr>
      <w:tr w:rsidR="007C2E9A" w:rsidRPr="006A6169" w14:paraId="28452D4E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7A7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ED2" w14:textId="77777777" w:rsidR="006A6169" w:rsidRDefault="00273885" w:rsidP="007C2E9A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економічної теорії</w:t>
            </w:r>
          </w:p>
          <w:p w14:paraId="554A8E62" w14:textId="7147E290" w:rsidR="00A2255E" w:rsidRPr="006A6169" w:rsidRDefault="00A2255E" w:rsidP="007C2E9A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Львівського національного університету імені Івана Франка</w:t>
            </w:r>
          </w:p>
        </w:tc>
      </w:tr>
      <w:tr w:rsidR="007C2E9A" w:rsidRPr="006A6169" w14:paraId="38601652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CBC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FDFC" w14:textId="631B5694" w:rsidR="00A2255E" w:rsidRDefault="00A2255E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«Соціальні та поведінкові науки»</w:t>
            </w:r>
          </w:p>
          <w:p w14:paraId="3A7FA94A" w14:textId="4E8E4B3B" w:rsidR="00A2255E" w:rsidRDefault="00273885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051 Економіка, </w:t>
            </w:r>
          </w:p>
          <w:p w14:paraId="57822F5E" w14:textId="6DCBB22F" w:rsidR="006A6169" w:rsidRPr="006A6169" w:rsidRDefault="00273885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Бізнес-економіка</w:t>
            </w:r>
          </w:p>
        </w:tc>
      </w:tr>
      <w:tr w:rsidR="007C2E9A" w:rsidRPr="006A6169" w14:paraId="7FE81020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1FA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7A52" w14:textId="77777777" w:rsidR="006A6169" w:rsidRDefault="00273885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Майовець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 Ярина Михайлівна,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  <w:p w14:paraId="4BDD3286" w14:textId="5C506868" w:rsidR="00A2255E" w:rsidRPr="006A6169" w:rsidRDefault="00A2255E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Ільків Наталія Василівна,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</w:tr>
      <w:tr w:rsidR="007C2E9A" w:rsidRPr="006A6169" w14:paraId="291F473B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867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B66C" w14:textId="0F2F2C9A" w:rsidR="00E77DAB" w:rsidRDefault="00E77DAB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DAB">
              <w:rPr>
                <w:rFonts w:ascii="Times New Roman" w:eastAsia="Times New Roman" w:hAnsi="Times New Roman"/>
                <w:sz w:val="24"/>
                <w:szCs w:val="24"/>
              </w:rPr>
              <w:t>Кафедра економічної теорії (к. 114)</w:t>
            </w:r>
          </w:p>
          <w:p w14:paraId="1DB156DE" w14:textId="4660EAB1" w:rsidR="006A6169" w:rsidRDefault="002850BA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A2255E" w:rsidRPr="00A9529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yaryna.mayovets@lnu.edu.ua</w:t>
              </w:r>
            </w:hyperlink>
          </w:p>
          <w:p w14:paraId="4DC36D46" w14:textId="544DB549" w:rsidR="00A2255E" w:rsidRDefault="002850BA" w:rsidP="002850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Pr="00BC5D5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n</w:t>
              </w:r>
              <w:r w:rsidRPr="00BC5D5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atalia.Ilkiv@lnu.edu.ua</w:t>
              </w:r>
            </w:hyperlink>
          </w:p>
          <w:p w14:paraId="4296AAB2" w14:textId="3A75A18D" w:rsidR="002850BA" w:rsidRPr="006A6169" w:rsidRDefault="002850BA" w:rsidP="002850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E9A" w:rsidRPr="006A6169" w14:paraId="2AB01AAD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70B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AF06" w14:textId="5472FCAB" w:rsidR="006A6169" w:rsidRPr="006A6169" w:rsidRDefault="00273885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</w:t>
            </w:r>
            <w:r w:rsidR="00F4676C">
              <w:rPr>
                <w:rFonts w:ascii="Times New Roman" w:eastAsia="Times New Roman" w:hAnsi="Times New Roman"/>
                <w:sz w:val="24"/>
                <w:szCs w:val="24"/>
              </w:rPr>
              <w:t>проводяться за місяць до початку проведення виробничої практики та в період проведення практики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 (за попередньою домовленістю). Також можливі онлайн консультації через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, Microsoft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онлайн консультацій слід писати на корпоративну електронну пошту викладача.</w:t>
            </w:r>
          </w:p>
        </w:tc>
      </w:tr>
      <w:tr w:rsidR="007C2E9A" w:rsidRPr="006A6169" w14:paraId="68E0A283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9B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7607" w14:textId="35D65E83" w:rsidR="006A6169" w:rsidRPr="00273885" w:rsidRDefault="006A6169" w:rsidP="007C2E9A">
            <w:pPr>
              <w:ind w:left="34"/>
            </w:pPr>
          </w:p>
        </w:tc>
      </w:tr>
      <w:tr w:rsidR="007C2E9A" w:rsidRPr="006A6169" w14:paraId="1E0605DE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6FB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EE0E" w14:textId="5A54012A" w:rsidR="002B745B" w:rsidRDefault="00A2255E" w:rsidP="002B745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Педагогічну практику організовано згідно з «Положенням про </w:t>
            </w:r>
            <w:r w:rsidR="002B745B">
              <w:rPr>
                <w:rFonts w:ascii="Times New Roman" w:eastAsia="Times New Roman" w:hAnsi="Times New Roman"/>
                <w:sz w:val="24"/>
                <w:szCs w:val="24"/>
              </w:rPr>
              <w:t>проведення практик здобувачів вищої освіти Львівського національного університе</w:t>
            </w:r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B745B">
              <w:rPr>
                <w:rFonts w:ascii="Times New Roman" w:eastAsia="Times New Roman" w:hAnsi="Times New Roman"/>
                <w:sz w:val="24"/>
                <w:szCs w:val="24"/>
              </w:rPr>
              <w:t>у імені Івана Франка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321D2C">
              <w:t xml:space="preserve"> </w:t>
            </w:r>
            <w:hyperlink r:id="rId8" w:history="1">
              <w:r w:rsidR="00321D2C" w:rsidRPr="00A9529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https://lnu.edu.ua/wp-content/uploads/2021/05/reg_practice.pdf</w:t>
              </w:r>
            </w:hyperlink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 яке регламентує порядок і форму проходження </w:t>
            </w:r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виробничої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 </w:t>
            </w:r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здобувачами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. Положення розроблене відповідно </w:t>
            </w:r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до законодавства у сфері вищої освіти України: Закону «Про вищу освіти», Закону «Про освіту», Положення про проведення практики студентів вищих навчальних закладів України, Положення про організацію освітнього процесу у Львівському національному університеті імені Івана Франка, Положення про контроль та оцінювання навчальних досягнень здобувачів вищої освіти Львівського національного університету імені Івана Франка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. Програма </w:t>
            </w:r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виробничої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 регламентує форми, організацію, проходження практики </w:t>
            </w:r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здобувачами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>, які здобувають ступінь «</w:t>
            </w:r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Виробнича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практика є обов’язковим компонентом ОНП </w:t>
            </w:r>
            <w:r w:rsidR="00321D2C" w:rsidRPr="00321D2C">
              <w:rPr>
                <w:rFonts w:ascii="Times New Roman" w:eastAsia="Times New Roman" w:hAnsi="Times New Roman"/>
                <w:sz w:val="24"/>
                <w:szCs w:val="24"/>
              </w:rPr>
              <w:t>першого (бакалаврського) рівня вищої освіти для здобувачів з спеціальності 051 напряму підготовки «Бізнес-економіки»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21D2C">
              <w:rPr>
                <w:rFonts w:ascii="Times New Roman" w:eastAsia="Times New Roman" w:hAnsi="Times New Roman"/>
                <w:sz w:val="24"/>
                <w:szCs w:val="24"/>
              </w:rPr>
              <w:t>Здобувачі проходять практику на відповідних базах згідно з вимогами програми практики</w:t>
            </w:r>
            <w:r w:rsidRPr="00A2255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2D00AE">
              <w:rPr>
                <w:rFonts w:ascii="Times New Roman" w:eastAsia="Times New Roman" w:hAnsi="Times New Roman"/>
                <w:sz w:val="24"/>
                <w:szCs w:val="24"/>
              </w:rPr>
              <w:t>Під час виробничої практики студенти  реалізують сформовані навички та уміння у проведенні виробничих процесів, виконують посадові обов’язки, реалізують професійні компетентності, сформовані відповідно до спеціальності</w:t>
            </w:r>
            <w:r w:rsidR="002B745B" w:rsidRPr="002B745B">
              <w:rPr>
                <w:rFonts w:ascii="Times" w:hAnsi="Times"/>
                <w:color w:val="000000"/>
                <w:sz w:val="24"/>
                <w:szCs w:val="24"/>
              </w:rPr>
              <w:t>, а також оформляють звітні документи (звіт –опис змісту роботи, щоденник практики).</w:t>
            </w:r>
          </w:p>
          <w:p w14:paraId="5A16213D" w14:textId="6534506C" w:rsidR="006A6169" w:rsidRPr="002850BA" w:rsidRDefault="006A6169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E9A" w:rsidRPr="006A6169" w14:paraId="29253971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DE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9A06" w14:textId="3BE88142" w:rsidR="00273885" w:rsidRPr="00273885" w:rsidRDefault="00273885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BF5CD1">
              <w:rPr>
                <w:rFonts w:ascii="Times New Roman" w:eastAsia="Times New Roman" w:hAnsi="Times New Roman"/>
                <w:sz w:val="24"/>
                <w:szCs w:val="24"/>
              </w:rPr>
              <w:t>Виробнича практика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» спрямована на вироблення </w:t>
            </w:r>
            <w:r w:rsidR="00BF5CD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BF5CD1"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студентів 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практичних навичок </w:t>
            </w:r>
            <w:r w:rsidR="00BF5CD1">
              <w:rPr>
                <w:rFonts w:ascii="Times New Roman" w:eastAsia="Times New Roman" w:hAnsi="Times New Roman"/>
                <w:sz w:val="24"/>
                <w:szCs w:val="24"/>
              </w:rPr>
              <w:t xml:space="preserve">та формування досвіду професійної, інноваційної діяльності для організації виробничого процесу, </w:t>
            </w:r>
            <w:r w:rsidR="00BF5C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ведення </w:t>
            </w:r>
            <w:proofErr w:type="spellStart"/>
            <w:r w:rsidR="00BF5CD1">
              <w:rPr>
                <w:rFonts w:ascii="Times New Roman" w:eastAsia="Times New Roman" w:hAnsi="Times New Roman"/>
                <w:sz w:val="24"/>
                <w:szCs w:val="24"/>
              </w:rPr>
              <w:t>проєктної</w:t>
            </w:r>
            <w:proofErr w:type="spellEnd"/>
            <w:r w:rsidR="00BF5CD1">
              <w:rPr>
                <w:rFonts w:ascii="Times New Roman" w:eastAsia="Times New Roman" w:hAnsi="Times New Roman"/>
                <w:sz w:val="24"/>
                <w:szCs w:val="24"/>
              </w:rPr>
              <w:t xml:space="preserve"> діяльності, закріплення і поглиблення теоретичних знань і практичних навичок, які здобувачі отримали у процесі вивчення циклів загальної, професійної та практичної підготовки, а також формування практичних умінь зі спеціальності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579C9000" w14:textId="77777777" w:rsidR="00273885" w:rsidRPr="00273885" w:rsidRDefault="00273885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4D3634" w14:textId="444D86D5" w:rsidR="006A6169" w:rsidRPr="006A6169" w:rsidRDefault="006A6169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E9A" w:rsidRPr="006A6169" w14:paraId="166DA7CE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61A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B642" w14:textId="4480021C" w:rsidR="00273885" w:rsidRPr="00273885" w:rsidRDefault="00273885" w:rsidP="006A46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Мета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6A46A3" w:rsidRPr="006A46A3">
              <w:rPr>
                <w:rFonts w:ascii="Times New Roman" w:eastAsia="Times New Roman" w:hAnsi="Times New Roman"/>
                <w:sz w:val="24"/>
                <w:szCs w:val="24"/>
              </w:rPr>
              <w:t>оволодіння студентами сучасними методами, формами</w:t>
            </w:r>
            <w:r w:rsidR="006A46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46A3" w:rsidRPr="006A46A3">
              <w:rPr>
                <w:rFonts w:ascii="Times New Roman" w:eastAsia="Times New Roman" w:hAnsi="Times New Roman"/>
                <w:sz w:val="24"/>
                <w:szCs w:val="24"/>
              </w:rPr>
              <w:t>організації та засобами праці в галузі їх майбутньої професії, формування у</w:t>
            </w:r>
            <w:r w:rsidR="006A46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46A3" w:rsidRPr="006A46A3">
              <w:rPr>
                <w:rFonts w:ascii="Times New Roman" w:eastAsia="Times New Roman" w:hAnsi="Times New Roman"/>
                <w:sz w:val="24"/>
                <w:szCs w:val="24"/>
              </w:rPr>
              <w:t>них, на базі одержаних у вищому навчальному закладі знань, професійних</w:t>
            </w:r>
            <w:r w:rsidR="006A46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46A3" w:rsidRPr="006A46A3">
              <w:rPr>
                <w:rFonts w:ascii="Times New Roman" w:eastAsia="Times New Roman" w:hAnsi="Times New Roman"/>
                <w:sz w:val="24"/>
                <w:szCs w:val="24"/>
              </w:rPr>
              <w:t>умінь і навичок для прийняття самостійних рішень під час конкретної роботи</w:t>
            </w:r>
            <w:r w:rsidR="006A46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46A3" w:rsidRPr="006A46A3">
              <w:rPr>
                <w:rFonts w:ascii="Times New Roman" w:eastAsia="Times New Roman" w:hAnsi="Times New Roman"/>
                <w:sz w:val="24"/>
                <w:szCs w:val="24"/>
              </w:rPr>
              <w:t>в реальних ринкових і виробничих умовах, виховання потреби систематично</w:t>
            </w:r>
            <w:r w:rsidR="006A46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46A3" w:rsidRPr="006A46A3">
              <w:rPr>
                <w:rFonts w:ascii="Times New Roman" w:eastAsia="Times New Roman" w:hAnsi="Times New Roman"/>
                <w:sz w:val="24"/>
                <w:szCs w:val="24"/>
              </w:rPr>
              <w:t>поновлювати свої знання та творчо їх застосовувати в практичній діяльності</w:t>
            </w:r>
          </w:p>
          <w:p w14:paraId="6B33C81B" w14:textId="77777777" w:rsidR="00273885" w:rsidRPr="00273885" w:rsidRDefault="00273885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90B49C" w14:textId="7CA3B308" w:rsidR="006A6169" w:rsidRPr="00012CB2" w:rsidRDefault="00012CB2" w:rsidP="006A46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B2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Головним </w:t>
            </w:r>
            <w:r w:rsidRPr="00012C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завданням</w:t>
            </w:r>
            <w:r w:rsidRPr="00012CB2">
              <w:rPr>
                <w:rFonts w:ascii="Times New Roman" w:eastAsia="Times New Roman" w:hAnsi="Times New Roman"/>
                <w:sz w:val="24"/>
                <w:szCs w:val="24"/>
              </w:rPr>
              <w:t xml:space="preserve"> виробничої практики є перше ознайомлення студентів з робочими місцями, поглиблення набутих теоретичних знань з фундаментальних </w:t>
            </w:r>
            <w:proofErr w:type="spellStart"/>
            <w:r w:rsidRPr="00012CB2">
              <w:rPr>
                <w:rFonts w:ascii="Times New Roman" w:eastAsia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012CB2">
              <w:rPr>
                <w:rFonts w:ascii="Times New Roman" w:eastAsia="Times New Roman" w:hAnsi="Times New Roman"/>
                <w:sz w:val="24"/>
                <w:szCs w:val="24"/>
              </w:rPr>
              <w:t>-орієнтованих навчальних дисциплін, визначення напрямку подальших наукових та прикладних досліджень.</w:t>
            </w:r>
          </w:p>
        </w:tc>
      </w:tr>
      <w:tr w:rsidR="007C2E9A" w:rsidRPr="006A6169" w14:paraId="3C294F60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493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43B8" w14:textId="77777777" w:rsidR="00012CB2" w:rsidRPr="00012CB2" w:rsidRDefault="00012CB2" w:rsidP="00012CB2">
            <w:pPr>
              <w:numPr>
                <w:ilvl w:val="0"/>
                <w:numId w:val="6"/>
              </w:numPr>
              <w:tabs>
                <w:tab w:val="clear" w:pos="540"/>
                <w:tab w:val="num" w:pos="36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Аналітична економія: макроекономіка і мікроекономіка: У 2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/ За ред.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С.Панчишина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П.Островерха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1: Вступ до аналітичної економії. Макроекономіка </w:t>
            </w: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К.: Знання, 2016. – 723 с.</w:t>
            </w:r>
          </w:p>
          <w:p w14:paraId="6245D0CB" w14:textId="77777777" w:rsidR="00012CB2" w:rsidRPr="00012CB2" w:rsidRDefault="00012CB2" w:rsidP="00012CB2">
            <w:pPr>
              <w:numPr>
                <w:ilvl w:val="0"/>
                <w:numId w:val="6"/>
              </w:numPr>
              <w:tabs>
                <w:tab w:val="clear" w:pos="54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 господарської діяльності: практикум / Г.І.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Кіндрацька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, М.С. Білик, А.Г. Загородній. – Львів: ЗУКЦ, 2017. – 148 с.</w:t>
            </w:r>
          </w:p>
          <w:p w14:paraId="2B67EB9E" w14:textId="77777777" w:rsidR="00012CB2" w:rsidRPr="00012CB2" w:rsidRDefault="00012CB2" w:rsidP="00012CB2">
            <w:pPr>
              <w:numPr>
                <w:ilvl w:val="0"/>
                <w:numId w:val="6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Бель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Когут Ю.М. Фінанси: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.-метод.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Посіб.для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самостійного вивчення дисципліни. – К.: МАУП; Ужгород: ЗІ ім..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А.Волошина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, 2004. – 168 с.</w:t>
            </w:r>
          </w:p>
          <w:p w14:paraId="4CC6C724" w14:textId="77777777" w:rsidR="00012CB2" w:rsidRPr="00012CB2" w:rsidRDefault="00012CB2" w:rsidP="00012CB2">
            <w:pPr>
              <w:numPr>
                <w:ilvl w:val="0"/>
                <w:numId w:val="6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Василик О.Д., Павлюк К.В. Державні фінанси України: Підручник. – К.: Центр навчальної літератури, 2004. – 608 с.</w:t>
            </w:r>
          </w:p>
          <w:p w14:paraId="00D29982" w14:textId="77777777" w:rsidR="00012CB2" w:rsidRPr="00012CB2" w:rsidRDefault="00012CB2" w:rsidP="00012CB2">
            <w:pPr>
              <w:numPr>
                <w:ilvl w:val="0"/>
                <w:numId w:val="6"/>
              </w:numPr>
              <w:tabs>
                <w:tab w:val="clear" w:pos="540"/>
                <w:tab w:val="num" w:pos="-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CB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Габбард</w:t>
            </w:r>
            <w:proofErr w:type="spellEnd"/>
            <w:r w:rsidRPr="00012CB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012CB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Глен</w:t>
            </w:r>
            <w:proofErr w:type="spellEnd"/>
            <w:r w:rsidRPr="00012CB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 Гроші, фінансова система та економіка:</w:t>
            </w:r>
            <w:r w:rsidRPr="00012CB2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Підручник / Пер. з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 Наук. ред. пер. М.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Савлук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Д.Олесневич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. - К.: КНЕУ, 2004. - 889 с.</w:t>
            </w:r>
          </w:p>
          <w:p w14:paraId="2A57B325" w14:textId="77777777" w:rsidR="00012CB2" w:rsidRPr="00012CB2" w:rsidRDefault="00012CB2" w:rsidP="00012CB2">
            <w:pPr>
              <w:pStyle w:val="a3"/>
              <w:numPr>
                <w:ilvl w:val="0"/>
                <w:numId w:val="6"/>
              </w:numPr>
              <w:tabs>
                <w:tab w:val="num" w:pos="-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Глобальна економіка: Навчальний посібник / Мазурок П.П.,</w:t>
            </w:r>
            <w:r w:rsidRPr="00012C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Одягайло</w:t>
            </w:r>
            <w:proofErr w:type="spellEnd"/>
            <w:r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Б.М., </w:t>
            </w:r>
            <w:proofErr w:type="spellStart"/>
            <w:r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Кулішов</w:t>
            </w:r>
            <w:proofErr w:type="spellEnd"/>
            <w:r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В.В., </w:t>
            </w:r>
            <w:proofErr w:type="spellStart"/>
            <w:r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Сазонец</w:t>
            </w:r>
            <w:proofErr w:type="spellEnd"/>
            <w:r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О.М. – Львів «Магнолія 2006»,  2011. – 208 с.</w:t>
            </w:r>
          </w:p>
          <w:p w14:paraId="01805EA6" w14:textId="77777777" w:rsidR="00012CB2" w:rsidRPr="00012CB2" w:rsidRDefault="00012CB2" w:rsidP="00012CB2">
            <w:pPr>
              <w:pStyle w:val="a3"/>
              <w:numPr>
                <w:ilvl w:val="0"/>
                <w:numId w:val="6"/>
              </w:numPr>
              <w:tabs>
                <w:tab w:val="clear" w:pos="540"/>
                <w:tab w:val="num" w:pos="-284"/>
                <w:tab w:val="left" w:pos="567"/>
              </w:tabs>
              <w:spacing w:after="0" w:line="240" w:lineRule="auto"/>
              <w:ind w:left="242" w:hangingChars="101" w:hanging="2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Гринів Л.С. Екологічна економіка: Навчальний посібник / Л.М. Гринів. – Львів</w:t>
            </w:r>
            <w:r w:rsidRPr="00012C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«Магнолія 2006», 2013. – 359 с.</w:t>
            </w:r>
          </w:p>
          <w:p w14:paraId="34BBBADE" w14:textId="77777777" w:rsidR="00012CB2" w:rsidRPr="00012CB2" w:rsidRDefault="00012CB2" w:rsidP="00012CB2">
            <w:pPr>
              <w:numPr>
                <w:ilvl w:val="0"/>
                <w:numId w:val="6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Економіка підприємства: Підручник / За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заг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ред. С.Ф.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Покропивного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. – Вид. 3-тє, без змін – К.: КНЕУ, 2006.</w:t>
            </w:r>
          </w:p>
          <w:p w14:paraId="20FCAD75" w14:textId="77777777" w:rsidR="00012CB2" w:rsidRPr="00012CB2" w:rsidRDefault="00012CB2" w:rsidP="00012CB2">
            <w:pPr>
              <w:pStyle w:val="a3"/>
              <w:numPr>
                <w:ilvl w:val="0"/>
                <w:numId w:val="6"/>
              </w:numPr>
              <w:tabs>
                <w:tab w:val="clear" w:pos="540"/>
                <w:tab w:val="num" w:pos="36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Економічна теорія: практикум (тести і задачі): </w:t>
            </w:r>
            <w:proofErr w:type="spellStart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навч</w:t>
            </w:r>
            <w:proofErr w:type="spellEnd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посібник [</w:t>
            </w:r>
            <w:proofErr w:type="spellStart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О.Ватаманюк</w:t>
            </w:r>
            <w:proofErr w:type="spellEnd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Є.Майовець</w:t>
            </w:r>
            <w:proofErr w:type="spellEnd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М.Стирський</w:t>
            </w:r>
            <w:proofErr w:type="spellEnd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ін.]; за ред.. </w:t>
            </w:r>
            <w:proofErr w:type="spellStart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О.З.Ватаманюка</w:t>
            </w:r>
            <w:proofErr w:type="spellEnd"/>
            <w:r w:rsidRPr="00012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–Львів: Інтелект-захід, 2010. –374с.</w:t>
            </w:r>
          </w:p>
          <w:p w14:paraId="18971DD3" w14:textId="77777777" w:rsidR="00012CB2" w:rsidRPr="00012CB2" w:rsidRDefault="00012CB2" w:rsidP="00012CB2">
            <w:pPr>
              <w:pStyle w:val="a3"/>
              <w:numPr>
                <w:ilvl w:val="0"/>
                <w:numId w:val="6"/>
              </w:numPr>
              <w:tabs>
                <w:tab w:val="clear" w:pos="540"/>
                <w:tab w:val="num" w:pos="36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Майовець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Є. Й. Маркетинг: теорія та методологія: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посібник / Є. Й.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Майовець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Львів: Львівський національний університет імені Івана Франка, 2013. </w:t>
            </w: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450 с.</w:t>
            </w:r>
          </w:p>
          <w:p w14:paraId="785FE398" w14:textId="77777777" w:rsidR="00012CB2" w:rsidRPr="00012CB2" w:rsidRDefault="00012CB2" w:rsidP="00012CB2">
            <w:pPr>
              <w:pStyle w:val="a3"/>
              <w:numPr>
                <w:ilvl w:val="0"/>
                <w:numId w:val="6"/>
              </w:numPr>
              <w:tabs>
                <w:tab w:val="clear" w:pos="540"/>
                <w:tab w:val="num" w:pos="36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Банківська система: підручник / М.І. Крупка, Є.М.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Андрущак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Н.Г.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Пайтра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ін.; [За ред.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д.е.н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., проф. М.І. Крупки]. – Львів: ЛНУ імені Івана Франка, 2013. – 556 с.</w:t>
            </w:r>
          </w:p>
          <w:p w14:paraId="11AB240D" w14:textId="77777777" w:rsidR="00012CB2" w:rsidRPr="00012CB2" w:rsidRDefault="00012CB2" w:rsidP="00012CB2">
            <w:pPr>
              <w:pStyle w:val="a3"/>
              <w:numPr>
                <w:ilvl w:val="0"/>
                <w:numId w:val="6"/>
              </w:numPr>
              <w:tabs>
                <w:tab w:val="clear" w:pos="540"/>
                <w:tab w:val="num" w:pos="36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Юринець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 Інвестиційний та інноваційний менеджмент.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/ З.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Юринець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Гнилянська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. – Львів : Видавництво Львівського національного університету імені Івана Франка, 2012. – 319 с.</w:t>
            </w:r>
          </w:p>
          <w:p w14:paraId="6D92B480" w14:textId="77777777" w:rsidR="00012CB2" w:rsidRPr="00012CB2" w:rsidRDefault="00012CB2" w:rsidP="00012CB2">
            <w:pPr>
              <w:pStyle w:val="a3"/>
              <w:numPr>
                <w:ilvl w:val="0"/>
                <w:numId w:val="6"/>
              </w:numPr>
              <w:tabs>
                <w:tab w:val="num" w:pos="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Бізнес-статистика: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. посібник / [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Матковський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О.,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Гринькевич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О.С., Вдовин М. Л.,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Вільчинська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О.М.,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Марець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О.Р.,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Сорочак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О.З.] – К.: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Алерта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, 2016. – 280 с.</w:t>
            </w:r>
          </w:p>
          <w:p w14:paraId="30239207" w14:textId="77777777" w:rsidR="00012CB2" w:rsidRPr="002850BA" w:rsidRDefault="00012CB2" w:rsidP="00012CB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850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>Ватаманюк</w:t>
            </w:r>
            <w:proofErr w:type="spellEnd"/>
            <w:r w:rsidRPr="002850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 xml:space="preserve"> О. З. Бізнес-економіка: навчальний посібник / О. З. </w:t>
            </w:r>
            <w:proofErr w:type="spellStart"/>
            <w:r w:rsidRPr="002850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>Ватаманюк</w:t>
            </w:r>
            <w:proofErr w:type="spellEnd"/>
            <w:r w:rsidRPr="002850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>. –</w:t>
            </w:r>
            <w:r w:rsidRPr="00AE0E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en-GB"/>
              </w:rPr>
              <w:t> </w:t>
            </w:r>
            <w:r w:rsidRPr="002850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 xml:space="preserve"> Львів: ЛНУ імені Івана Франка, 2018. – 324 с.</w:t>
            </w:r>
            <w:r w:rsidRPr="00012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A5F660" w14:textId="77777777" w:rsidR="00012CB2" w:rsidRPr="00012CB2" w:rsidRDefault="00012CB2" w:rsidP="00012CB2">
            <w:pPr>
              <w:pStyle w:val="a3"/>
              <w:numPr>
                <w:ilvl w:val="0"/>
                <w:numId w:val="6"/>
              </w:numPr>
              <w:tabs>
                <w:tab w:val="num" w:pos="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Бандура З.Л., Кріль Я.Я., Москаль Н.В. Облік і аудит: Навчальний посібник, за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заг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ред. проф. </w:t>
            </w:r>
            <w:proofErr w:type="spellStart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>Ковалюка</w:t>
            </w:r>
            <w:proofErr w:type="spellEnd"/>
            <w:r w:rsidRPr="0001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О.М. Львів: ЛНУ ім. І. Франка, 2018. 278 с.</w:t>
            </w:r>
          </w:p>
          <w:p w14:paraId="134C3A6B" w14:textId="632155D6" w:rsidR="00902066" w:rsidRDefault="002850BA" w:rsidP="00012CB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16.</w:t>
            </w:r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proofErr w:type="spellStart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Майовець</w:t>
            </w:r>
            <w:proofErr w:type="spellEnd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Я.М., Ільків Н.В. Методичні рекомендації щодо проходження виробничої практики для студентів IІІ курсу освітнього ступеня «бакалавр» спеціальності 051 «Економіка» освітньої програми «Бізнес-економіка» / </w:t>
            </w:r>
            <w:proofErr w:type="spellStart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Укл</w:t>
            </w:r>
            <w:proofErr w:type="spellEnd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к.е.н</w:t>
            </w:r>
            <w:proofErr w:type="spellEnd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., доц. </w:t>
            </w:r>
            <w:proofErr w:type="spellStart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Майовець</w:t>
            </w:r>
            <w:proofErr w:type="spellEnd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Я.М., </w:t>
            </w:r>
            <w:proofErr w:type="spellStart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к.е.н</w:t>
            </w:r>
            <w:proofErr w:type="spellEnd"/>
            <w:r w:rsidRPr="002850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., доц. Ільків Н. В. – ЛНУ ім. Івана Франка, 2022. – с. 32.</w:t>
            </w:r>
          </w:p>
          <w:p w14:paraId="4861B4E6" w14:textId="4610039D" w:rsidR="00012CB2" w:rsidRPr="00012CB2" w:rsidRDefault="002850BA" w:rsidP="00012CB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</w:t>
            </w:r>
            <w:bookmarkStart w:id="0" w:name="_GoBack"/>
            <w:bookmarkEnd w:id="0"/>
            <w:r w:rsidR="00012CB2" w:rsidRP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Закони та підзаконні акти України, аналітичні огляди та наукові статті про економічний розвиток України загалом та підприємств різних галузей зокрема, інтернет-джерела, статистичні довідники, економічні журнали тощо</w:t>
            </w:r>
            <w:r w:rsidR="00012C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14:paraId="7D18D17B" w14:textId="77777777" w:rsidR="006A6169" w:rsidRPr="002850BA" w:rsidRDefault="006A6169" w:rsidP="00012CB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C2E9A" w:rsidRPr="006A6169" w14:paraId="0C160D2D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DAB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55E" w14:textId="381DFB63" w:rsidR="006A6169" w:rsidRPr="006A6169" w:rsidRDefault="00012CB2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180</w:t>
            </w:r>
            <w:r w:rsidR="00273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7E27B2">
              <w:rPr>
                <w:rFonts w:ascii="Times New Roman" w:eastAsia="Times New Roman" w:hAnsi="Times New Roman"/>
                <w:sz w:val="24"/>
                <w:szCs w:val="24"/>
              </w:rPr>
              <w:t>, 6 кредитів</w:t>
            </w:r>
          </w:p>
        </w:tc>
      </w:tr>
      <w:tr w:rsidR="007C2E9A" w:rsidRPr="006A6169" w14:paraId="262392B7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296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D381" w14:textId="21FBE7E1" w:rsidR="006769FE" w:rsidRDefault="006769FE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Очікувані результати призначені забезпечити набуття компетентностей: ЗК3, ЗК4, ЗК7, ЗК8, ЗК9, ЗК11, ЗК12, ЗК13, СК1, СК2, СК6, СК7, СК8, СК12, СК13, СКС3, результатів навчання: ПРН3, ПРН5, ПРН6, ПРН8, ПРН10, ПРН12, ПРН13, ПРН15, ПРН16, ПРН18, ПРН19, ПРН20, ПРН21, ПРН23, ПРН26, ПРН27, </w:t>
            </w:r>
          </w:p>
          <w:p w14:paraId="0F44A431" w14:textId="55B443C1" w:rsidR="006769FE" w:rsidRDefault="006769FE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Основними результатами після завершення курсу для студентів є вміння:</w:t>
            </w:r>
          </w:p>
          <w:p w14:paraId="6B31C1F7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здійснювати аналіз стану ринку й обсягу реалізації продукції (послуг) підприємства;</w:t>
            </w:r>
          </w:p>
          <w:p w14:paraId="6EEB1D09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розраховувати головні показники виробничо-господарської діяльності суб’єктів підприємницької діяльності;</w:t>
            </w:r>
          </w:p>
          <w:p w14:paraId="4CC5C94C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застосовувати показники статистичної та фінансової звітності щодо прийняття фінансових та управлінських рішень;</w:t>
            </w:r>
          </w:p>
          <w:p w14:paraId="4E45977C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розраховувати показники фінансового стану підприємств і здійснювати їх оцінку;</w:t>
            </w:r>
          </w:p>
          <w:p w14:paraId="5ED155B9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визначати фактори формування доходів від операційної діяльності, розраховувати показники прибутку та рентабельності, фактори, що визначають їх рівень;</w:t>
            </w:r>
          </w:p>
          <w:p w14:paraId="1FD286B5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приймати певні рішення щодо підвищення ефективності діяльності підприємства</w:t>
            </w:r>
          </w:p>
          <w:p w14:paraId="6A8681D4" w14:textId="3F1600EA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2F8512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знати :</w:t>
            </w:r>
          </w:p>
          <w:p w14:paraId="4B10E253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як аналізувати діяльність підприємств з використанням сучасних </w:t>
            </w:r>
            <w:proofErr w:type="spellStart"/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методик</w:t>
            </w:r>
            <w:proofErr w:type="spellEnd"/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1C75B5F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як використовувати системний підхід у процесі аналізу діяльності підприємства та прийняття різних управлінських рішень;</w:t>
            </w:r>
          </w:p>
          <w:p w14:paraId="380947D2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як обґрунтовувати результати наукових досліджень та використовувати їх у діяльності підприємства;</w:t>
            </w:r>
          </w:p>
          <w:p w14:paraId="571503E0" w14:textId="77777777" w:rsidR="006769FE" w:rsidRP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використовувати інструментарії управління бізнес-процесів;</w:t>
            </w:r>
          </w:p>
          <w:p w14:paraId="747B101D" w14:textId="5C42983E" w:rsidR="006769FE" w:rsidRDefault="006769FE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6769FE">
              <w:rPr>
                <w:rFonts w:ascii="Times New Roman" w:eastAsia="Times New Roman" w:hAnsi="Times New Roman"/>
                <w:sz w:val="24"/>
                <w:szCs w:val="24"/>
              </w:rPr>
              <w:tab/>
              <w:t>дотримуватися професійної етики в процесі здійснення наукових досліджень.</w:t>
            </w:r>
          </w:p>
          <w:p w14:paraId="4696E6DD" w14:textId="0C641585" w:rsidR="006A6169" w:rsidRPr="006A6169" w:rsidRDefault="006A6169" w:rsidP="0067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E9A" w:rsidRPr="006A6169" w14:paraId="0C1C7C4B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3592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F9A2" w14:textId="74F04041" w:rsidR="006A6169" w:rsidRPr="006A6169" w:rsidRDefault="006769FE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Виробнича практика, професійна підготовка фахівців, бакалавр, знання, уміння, навички</w:t>
            </w:r>
            <w:r w:rsidR="00F870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C2E9A" w:rsidRPr="006A6169" w14:paraId="36833B52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04D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88EA" w14:textId="77777777" w:rsidR="006A6169" w:rsidRPr="006A6169" w:rsidRDefault="006A6169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 </w:t>
            </w:r>
          </w:p>
        </w:tc>
      </w:tr>
      <w:tr w:rsidR="007C2E9A" w:rsidRPr="006A6169" w14:paraId="68B8022B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891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EC95" w14:textId="46DEF025" w:rsidR="006A6169" w:rsidRPr="006A6169" w:rsidRDefault="00F87082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Диференційований </w:t>
            </w:r>
            <w:r w:rsidR="00273885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E9A" w:rsidRPr="006A6169" w14:paraId="313FBEF0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6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F346" w14:textId="087A860C" w:rsidR="006A6169" w:rsidRPr="006A6169" w:rsidRDefault="00273885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освоєння курсу студенти повинні до початку його вивчення опанувати знання і навички в галузі основ бізнес-економіки,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макро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- і мікроекономіки, статистики, </w:t>
            </w:r>
            <w:r w:rsidR="00F87082"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економетрії, економіки підприємства, </w:t>
            </w:r>
            <w:proofErr w:type="spellStart"/>
            <w:r w:rsidR="00F87082">
              <w:rPr>
                <w:rFonts w:ascii="Times New Roman" w:eastAsia="Times New Roman" w:hAnsi="Times New Roman"/>
                <w:sz w:val="24"/>
                <w:szCs w:val="24"/>
              </w:rPr>
              <w:t>банківництво</w:t>
            </w:r>
            <w:proofErr w:type="spellEnd"/>
            <w:r w:rsidR="00F87082">
              <w:rPr>
                <w:rFonts w:ascii="Times New Roman" w:eastAsia="Times New Roman" w:hAnsi="Times New Roman"/>
                <w:sz w:val="24"/>
                <w:szCs w:val="24"/>
              </w:rPr>
              <w:t xml:space="preserve"> і страхування</w:t>
            </w:r>
            <w:r w:rsidR="00264EDC">
              <w:rPr>
                <w:rFonts w:ascii="Times New Roman" w:eastAsia="Times New Roman" w:hAnsi="Times New Roman"/>
                <w:sz w:val="24"/>
                <w:szCs w:val="24"/>
              </w:rPr>
              <w:t>, фінанси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C2E9A" w:rsidRPr="006A6169" w14:paraId="4CE8D36E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D659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1A61" w14:textId="29705278" w:rsidR="006A6169" w:rsidRPr="006A6169" w:rsidRDefault="00F87082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Ознайомлення з робочою програмою, навчально-методичними матеріалами</w:t>
            </w:r>
            <w:r w:rsidR="00A30B1E" w:rsidRPr="00A30B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Збір та аналіз інформації.</w:t>
            </w:r>
          </w:p>
        </w:tc>
      </w:tr>
      <w:tr w:rsidR="007C2E9A" w:rsidRPr="006A6169" w14:paraId="041E2089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4C9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83FD" w14:textId="29144041" w:rsidR="006A6169" w:rsidRPr="006A6169" w:rsidRDefault="00A30B1E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0B1E">
              <w:rPr>
                <w:rFonts w:ascii="Times New Roman" w:eastAsia="Times New Roman" w:hAnsi="Times New Roman"/>
                <w:sz w:val="24"/>
                <w:szCs w:val="24"/>
              </w:rPr>
              <w:t>Персональний комп’ютер.</w:t>
            </w:r>
          </w:p>
        </w:tc>
      </w:tr>
      <w:tr w:rsidR="007C2E9A" w:rsidRPr="006A6169" w14:paraId="0D4AE3C6" w14:textId="77777777" w:rsidTr="007C2E9A">
        <w:trPr>
          <w:trHeight w:val="15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CDE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62C0" w14:textId="4ED2ABE9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терміну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звітують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="00264E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</w:t>
            </w: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264E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Письмовий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разом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щоденником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завіряється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керівником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подається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рецензування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керівнику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повинен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змісту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розділів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57763877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захищається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студентом з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диференційованою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оцінкою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призначеною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завідувачем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економічної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Комісія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приймає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практики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термінів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встановлених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наказом Ректора.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 за практику вноситься 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заліково-екзаменаційну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відомість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залікову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книжку студента за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підписом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3C9C2016" w14:textId="6C3C1FA8" w:rsid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Студент,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отримав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за формою «К»,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відраховується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59976930" w14:textId="77777777" w:rsid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7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5170"/>
              <w:gridCol w:w="1241"/>
            </w:tblGrid>
            <w:tr w:rsidR="00F87082" w:rsidRPr="00F87082" w14:paraId="29A92D7C" w14:textId="77777777" w:rsidTr="00F87082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20F53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87082">
                    <w:rPr>
                      <w:b/>
                      <w:i/>
                      <w:sz w:val="24"/>
                      <w:szCs w:val="24"/>
                    </w:rPr>
                    <w:t>№</w:t>
                  </w:r>
                </w:p>
                <w:p w14:paraId="34F29FC5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7082">
                    <w:rPr>
                      <w:b/>
                      <w:i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82062" w14:textId="77777777" w:rsidR="00F87082" w:rsidRPr="00F87082" w:rsidRDefault="00F87082" w:rsidP="00F87082">
                  <w:pPr>
                    <w:ind w:right="140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8708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Етапи оцінювання практики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F24F3" w14:textId="77777777" w:rsidR="00F87082" w:rsidRPr="00F87082" w:rsidRDefault="00F87082" w:rsidP="00F87082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8708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Бали</w:t>
                  </w:r>
                </w:p>
              </w:tc>
            </w:tr>
            <w:tr w:rsidR="00F87082" w:rsidRPr="00F87082" w14:paraId="6D4AA03B" w14:textId="77777777" w:rsidTr="00F87082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2B228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708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986A4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F87082">
                    <w:rPr>
                      <w:sz w:val="24"/>
                      <w:szCs w:val="24"/>
                    </w:rPr>
                    <w:t>Оцінка проходження практики керівником практики від підприємства (оцінює керівник практики від бази практики)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F20D0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7082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F87082" w:rsidRPr="00F87082" w14:paraId="101E2639" w14:textId="77777777" w:rsidTr="00F87082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1DB03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708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BEB5C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F87082">
                    <w:rPr>
                      <w:sz w:val="24"/>
                      <w:szCs w:val="24"/>
                    </w:rPr>
                    <w:t>Оформлення звіту з практики (оцінює керівник практики від кафедри)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1307F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7082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F87082" w:rsidRPr="00F87082" w14:paraId="0968622E" w14:textId="77777777" w:rsidTr="00F87082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D0104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708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CEC04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F87082">
                    <w:rPr>
                      <w:sz w:val="24"/>
                      <w:szCs w:val="24"/>
                    </w:rPr>
                    <w:t>Оцінка захисту практики (оцінює керівник практики від кафедри)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72F25" w14:textId="77777777" w:rsidR="00F87082" w:rsidRPr="00F87082" w:rsidRDefault="00F87082" w:rsidP="00F87082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7082"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0F41B39D" w14:textId="4CFF2367" w:rsidR="00F87082" w:rsidRDefault="00F87082" w:rsidP="007C2E9A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459C6CF" w14:textId="77777777" w:rsidR="00F87082" w:rsidRPr="00534976" w:rsidRDefault="00F87082" w:rsidP="00F87082">
            <w:pPr>
              <w:jc w:val="center"/>
              <w:rPr>
                <w:b/>
                <w:bCs/>
                <w:sz w:val="24"/>
              </w:rPr>
            </w:pPr>
            <w:r w:rsidRPr="00534976">
              <w:rPr>
                <w:b/>
                <w:bCs/>
                <w:sz w:val="24"/>
              </w:rPr>
              <w:t>Шкала оцінювання Університету, національна та ECTS</w:t>
            </w:r>
          </w:p>
          <w:tbl>
            <w:tblPr>
              <w:tblW w:w="684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83"/>
              <w:gridCol w:w="1083"/>
              <w:gridCol w:w="2335"/>
              <w:gridCol w:w="17"/>
              <w:gridCol w:w="1005"/>
              <w:gridCol w:w="1317"/>
            </w:tblGrid>
            <w:tr w:rsidR="00F87082" w:rsidRPr="00F87082" w14:paraId="53BB93DA" w14:textId="77777777" w:rsidTr="00F87082">
              <w:trPr>
                <w:trHeight w:val="69"/>
                <w:jc w:val="center"/>
              </w:trPr>
              <w:tc>
                <w:tcPr>
                  <w:tcW w:w="10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132CE7EE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Оцінка в балах</w:t>
                  </w:r>
                </w:p>
              </w:tc>
              <w:tc>
                <w:tcPr>
                  <w:tcW w:w="343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3CCA5FDE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Національна шкала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3ACC8949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ECTS</w:t>
                  </w:r>
                </w:p>
              </w:tc>
            </w:tr>
            <w:tr w:rsidR="00F87082" w:rsidRPr="00F87082" w14:paraId="6147D17F" w14:textId="77777777" w:rsidTr="00F87082">
              <w:trPr>
                <w:trHeight w:val="651"/>
                <w:jc w:val="center"/>
              </w:trPr>
              <w:tc>
                <w:tcPr>
                  <w:tcW w:w="1083" w:type="dxa"/>
                  <w:vMerge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5E240655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2713D98D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Код оцінки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3F8DB490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Оцінка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3A54D6F3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Код оцінки</w:t>
                  </w: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63C6EB90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Оцінка</w:t>
                  </w:r>
                </w:p>
              </w:tc>
            </w:tr>
            <w:tr w:rsidR="00F87082" w:rsidRPr="00F87082" w14:paraId="0E7F29E3" w14:textId="77777777" w:rsidTr="00F87082">
              <w:trPr>
                <w:trHeight w:val="274"/>
                <w:jc w:val="center"/>
              </w:trPr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1B3CDB57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90 – 100</w:t>
                  </w:r>
                </w:p>
              </w:tc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8B76928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F49E11E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відмінно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504E47F0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А</w:t>
                  </w: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662AAEC2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відмінно</w:t>
                  </w:r>
                </w:p>
              </w:tc>
            </w:tr>
            <w:tr w:rsidR="00F87082" w:rsidRPr="00F87082" w14:paraId="516401C1" w14:textId="77777777" w:rsidTr="00F87082">
              <w:trPr>
                <w:trHeight w:val="281"/>
                <w:jc w:val="center"/>
              </w:trPr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3F76A209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81-89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533126E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352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356D3A9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добре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4502E218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В</w:t>
                  </w: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1AA89B8C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дуже добре</w:t>
                  </w:r>
                </w:p>
              </w:tc>
            </w:tr>
            <w:tr w:rsidR="00F87082" w:rsidRPr="00F87082" w14:paraId="5FE2EEC1" w14:textId="77777777" w:rsidTr="00F87082">
              <w:trPr>
                <w:trHeight w:val="280"/>
                <w:jc w:val="center"/>
              </w:trPr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04A4364A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71-80</w:t>
                  </w:r>
                </w:p>
              </w:tc>
              <w:tc>
                <w:tcPr>
                  <w:tcW w:w="10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AC35AF3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384DA3F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3AB55EAE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С</w:t>
                  </w: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5AFE111A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добре</w:t>
                  </w:r>
                </w:p>
              </w:tc>
            </w:tr>
            <w:tr w:rsidR="00F87082" w:rsidRPr="00F87082" w14:paraId="34913079" w14:textId="77777777" w:rsidTr="00F87082">
              <w:trPr>
                <w:trHeight w:val="284"/>
                <w:jc w:val="center"/>
              </w:trPr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1FEE59ED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lastRenderedPageBreak/>
                    <w:t>61-70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5FC9D96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2352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73637B8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задовільно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1604587A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D</w:t>
                  </w: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3FC2F080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задовільно</w:t>
                  </w:r>
                </w:p>
              </w:tc>
            </w:tr>
            <w:tr w:rsidR="00F87082" w:rsidRPr="00F87082" w14:paraId="697E2843" w14:textId="77777777" w:rsidTr="00F87082">
              <w:trPr>
                <w:trHeight w:val="275"/>
                <w:jc w:val="center"/>
              </w:trPr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40FD60DB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51-60</w:t>
                  </w:r>
                </w:p>
              </w:tc>
              <w:tc>
                <w:tcPr>
                  <w:tcW w:w="10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37995A9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A6F6801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1EF5F8FC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Е</w:t>
                  </w: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5D5D9085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достатньо</w:t>
                  </w:r>
                </w:p>
              </w:tc>
            </w:tr>
            <w:tr w:rsidR="00F87082" w:rsidRPr="00F87082" w14:paraId="37FF051A" w14:textId="77777777" w:rsidTr="00F87082">
              <w:trPr>
                <w:trHeight w:val="275"/>
                <w:jc w:val="center"/>
              </w:trPr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27DB8C66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0-50</w:t>
                  </w:r>
                </w:p>
              </w:tc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CA5FAC6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6924FF9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незадовільно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6612FFB0" w14:textId="77777777" w:rsidR="00F87082" w:rsidRPr="002850BA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  <w:lang w:val="en-US"/>
                    </w:rPr>
                    <w:t>FX</w:t>
                  </w: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14:paraId="01E7E313" w14:textId="77777777" w:rsidR="00F87082" w:rsidRPr="00F87082" w:rsidRDefault="00F87082" w:rsidP="00F87082">
                  <w:pPr>
                    <w:spacing w:line="281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7082">
                    <w:rPr>
                      <w:rFonts w:ascii="Times New Roman" w:hAnsi="Times New Roman"/>
                      <w:sz w:val="24"/>
                    </w:rPr>
                    <w:t>незадовільно</w:t>
                  </w:r>
                </w:p>
              </w:tc>
            </w:tr>
          </w:tbl>
          <w:p w14:paraId="4D738EF0" w14:textId="77777777" w:rsidR="00F87082" w:rsidRPr="00534976" w:rsidRDefault="00F87082" w:rsidP="00F87082">
            <w:pPr>
              <w:shd w:val="clear" w:color="auto" w:fill="FFFFFF"/>
              <w:tabs>
                <w:tab w:val="left" w:pos="0"/>
              </w:tabs>
              <w:ind w:firstLine="567"/>
              <w:rPr>
                <w:sz w:val="24"/>
              </w:rPr>
            </w:pPr>
          </w:p>
          <w:p w14:paraId="054F481A" w14:textId="77777777" w:rsidR="00F87082" w:rsidRPr="002850BA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Критерії оцінювання</w:t>
            </w:r>
            <w:r w:rsidRPr="002850BA">
              <w:rPr>
                <w:rFonts w:ascii="Times New Roman" w:eastAsia="Times New Roman" w:hAnsi="Times New Roman"/>
                <w:sz w:val="24"/>
                <w:szCs w:val="24"/>
              </w:rPr>
              <w:t xml:space="preserve"> на етапах перевірки оформлення звіту про проходження практики та щоденника практики та захисту звіту:</w:t>
            </w:r>
          </w:p>
          <w:p w14:paraId="4D8DCA10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60-70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ставиться,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студент:</w:t>
            </w:r>
          </w:p>
          <w:p w14:paraId="538D9FA1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показав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глибокі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7B31B8D4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оволодів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первинними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навиками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дослідної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збирати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осмислювати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формулювати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висновки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3D8C98F3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дає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предмету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55D46689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грамотною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літературною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506E81D1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5) оформив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і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щоденник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у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подав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визначений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кафедрою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термін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3A7705EB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6) на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захисті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продемонстрував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глибокі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твердо і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впевнено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запитання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032ADDCB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41-59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ставиться,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студент:</w:t>
            </w:r>
          </w:p>
          <w:p w14:paraId="1E8B6AEC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показав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досить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високі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65919FB9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оволодів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первинними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навиками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дослідної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збирати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осмислювати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формулювати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висновки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завжди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критично ставиться до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використаних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1EA971B2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дає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предмету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однак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657B8C4F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грамотною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літературною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але допустив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нечисленні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стилістичні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помилки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4FC299F3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5) оформив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та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щоденник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у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подав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визначений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кафедрою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термін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7798E4A7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6) на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захисті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продемонстрував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теми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запитання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3F88D1A8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21-40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ставиться,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студент:</w:t>
            </w:r>
          </w:p>
          <w:p w14:paraId="7EDFDE96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показав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достатні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6D6B2869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в основному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оволодів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первинними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навиками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дослідної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збирати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осмислювати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формулювати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висновки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однак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допускає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логічного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послідовного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окремі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помилки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неточності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42FA312A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3) не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сформулювати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теми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обґрунтувати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14:paraId="133CFD30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допускає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помилки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оформленні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та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щоденника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практики;</w:t>
            </w:r>
          </w:p>
          <w:p w14:paraId="25C9E79E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допускає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стилістичні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помилки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4DC74F52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6) на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захисті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продемонстрував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задовільні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теми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зумів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впевнено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чітко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відповісти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запитання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723ADC18" w14:textId="77777777" w:rsidR="00F87082" w:rsidRP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420080A" w14:textId="571A86B8" w:rsidR="00F87082" w:rsidRDefault="00F87082" w:rsidP="00F87082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21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ставиться в тому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виробничої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та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щоденник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оформлені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численними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помилками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захисті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 проявив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повне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незнання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досліджуваної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зумів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задовільно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відповісти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поставлені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свідчить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несамостійне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звіту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F870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практики.</w:t>
            </w:r>
          </w:p>
          <w:p w14:paraId="1D9FFEC9" w14:textId="669458D0" w:rsidR="00A30B1E" w:rsidRPr="00A30B1E" w:rsidRDefault="00A30B1E" w:rsidP="007C2E9A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Академічна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будуть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посилань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списування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втручання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роботу</w:t>
            </w:r>
            <w:proofErr w:type="gram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становлять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обмежують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можливої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підставою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масштабів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плагіату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обману. </w:t>
            </w:r>
          </w:p>
          <w:p w14:paraId="4EEF4A38" w14:textId="77777777" w:rsidR="00A30B1E" w:rsidRDefault="00A30B1E" w:rsidP="007C2E9A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6551C6F7" w14:textId="3BE157BA" w:rsidR="00F87082" w:rsidRPr="006A6169" w:rsidRDefault="00F87082" w:rsidP="007C2E9A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C2E9A" w:rsidRPr="006A6169" w14:paraId="524C76F2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7F1" w14:textId="067FF2B9" w:rsidR="006A6169" w:rsidRPr="006A6169" w:rsidRDefault="00F34D3B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Питання на </w:t>
            </w:r>
            <w:r w:rsidR="002818A4">
              <w:rPr>
                <w:rFonts w:ascii="Times New Roman" w:eastAsia="Times New Roman" w:hAnsi="Times New Roman"/>
                <w:b/>
                <w:sz w:val="24"/>
                <w:szCs w:val="24"/>
              </w:rPr>
              <w:t>індивідуальні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024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(контрольні)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7ABF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 xml:space="preserve">1. Оцінки інтенсивності та ефективності використання </w:t>
            </w:r>
            <w:proofErr w:type="spellStart"/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потужностей</w:t>
            </w:r>
            <w:proofErr w:type="spellEnd"/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 xml:space="preserve"> підприємства.</w:t>
            </w:r>
          </w:p>
          <w:p w14:paraId="1A32D0A0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2. Шляхи ефективного використання виробничих фондів на підприємстві.</w:t>
            </w:r>
          </w:p>
          <w:p w14:paraId="2A7A386F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3. Управління формуванням, оновленням та використанням основних виробничих фондів на підприємстві (в організації).</w:t>
            </w:r>
          </w:p>
          <w:p w14:paraId="2DD3B78B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4. Дослідження шляхів покращання використання основного капіталу підприємства (організації).</w:t>
            </w:r>
          </w:p>
          <w:p w14:paraId="2E351255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 xml:space="preserve">5. Дослідження економіко-організаційних методів стимулювання росту виробництва на підприємстві. </w:t>
            </w:r>
          </w:p>
          <w:p w14:paraId="450D219E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6. Управління витратами на підприємстві (в організації).</w:t>
            </w:r>
          </w:p>
          <w:p w14:paraId="23CF82F7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7. Управління рентабельністю виробництва на підприємстві в організації.</w:t>
            </w:r>
          </w:p>
          <w:p w14:paraId="6AE00C07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8. Шляхи підвищення рівня рентабельності підприємства.</w:t>
            </w:r>
          </w:p>
          <w:p w14:paraId="303A61A1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9. Планування персоналу на підприємстві (в організації).</w:t>
            </w:r>
          </w:p>
          <w:p w14:paraId="4AC02558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10. Удосконалення системи підбору, підготовки та перепідготовки персоналу підприємства</w:t>
            </w:r>
          </w:p>
          <w:p w14:paraId="4865823A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11. Організації оплати праці на підприємстві (в організації) в умовах ринкових відносин.</w:t>
            </w:r>
          </w:p>
          <w:p w14:paraId="7941BC11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12. Шляхи підвищення рівня мотивації праці на підприємстві (в організації).</w:t>
            </w:r>
          </w:p>
          <w:p w14:paraId="69D8BF93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13. Організація та стимулювання праці на підприємстві (в організації).</w:t>
            </w:r>
          </w:p>
          <w:p w14:paraId="3B3A5DB8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14. Організації та нормування праці на підприємстві (в організації).</w:t>
            </w:r>
          </w:p>
          <w:p w14:paraId="492A2439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15. Управління якістю продукції (послуг) на підприємстві (в організації).</w:t>
            </w:r>
          </w:p>
          <w:p w14:paraId="70BC8A60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16. Інформаційне забезпечення управління на основі нових інформаційних технологій на підприємстві (в організації).</w:t>
            </w:r>
          </w:p>
          <w:p w14:paraId="0C1585C1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17. Аналіз оборотних активів підприємства.</w:t>
            </w:r>
          </w:p>
          <w:p w14:paraId="30B900C6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18. Управління запасами на підприємстві (в організації).</w:t>
            </w:r>
          </w:p>
          <w:p w14:paraId="445F8698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19. Аналіз стану дебіторської заборгованості на підприємстві (в організації).</w:t>
            </w:r>
          </w:p>
          <w:p w14:paraId="1FBB46D1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20. Управління грошовими потоками підприємства з метою підвищення його фінансової стійкості.</w:t>
            </w:r>
          </w:p>
          <w:p w14:paraId="6E989258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 Управління інноваційними процесами на підприємстві (в організації).</w:t>
            </w:r>
          </w:p>
          <w:p w14:paraId="6E3332AD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22. Управління маркетинговою діяльністю на підприємстві (в організації).</w:t>
            </w:r>
          </w:p>
          <w:p w14:paraId="3D2C08AA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23. Аналіз формування ринків збуту продукції підприємств (організацій).</w:t>
            </w:r>
          </w:p>
          <w:p w14:paraId="5D55384C" w14:textId="77777777" w:rsidR="002818A4" w:rsidRPr="002818A4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24. Аналіз і обґрунтування інвестиційної стратегії на підприємстві (в організації).</w:t>
            </w:r>
          </w:p>
          <w:p w14:paraId="5C9EC730" w14:textId="295DB3F2" w:rsidR="006A6169" w:rsidRPr="006A6169" w:rsidRDefault="002818A4" w:rsidP="002818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8A4">
              <w:rPr>
                <w:rFonts w:ascii="Times New Roman" w:eastAsia="Times New Roman" w:hAnsi="Times New Roman"/>
                <w:sz w:val="24"/>
                <w:szCs w:val="24"/>
              </w:rPr>
              <w:t>25. Шляхи підвищення інвестиційної активності підприємств (організацій).</w:t>
            </w:r>
          </w:p>
        </w:tc>
      </w:tr>
      <w:tr w:rsidR="007C2E9A" w:rsidRPr="006A6169" w14:paraId="55A6E738" w14:textId="77777777" w:rsidTr="007C2E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DF7C" w14:textId="026FE627" w:rsidR="00F34D3B" w:rsidRPr="006A6169" w:rsidRDefault="00F34D3B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5CFB" w14:textId="4B8883B0" w:rsidR="00F34D3B" w:rsidRPr="006A6169" w:rsidRDefault="00F34D3B" w:rsidP="007C2E9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A7BFB14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615C0DF3" w14:textId="3AE6CBA9" w:rsidR="008D1397" w:rsidRDefault="008D1397">
      <w:pPr>
        <w:spacing w:after="160" w:line="259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br w:type="page"/>
      </w:r>
    </w:p>
    <w:p w14:paraId="2A53C0F0" w14:textId="77777777" w:rsidR="008D1397" w:rsidRDefault="008D1397" w:rsidP="008D1397">
      <w:pPr>
        <w:spacing w:after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sectPr w:rsidR="008D139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5AC1C8B" w14:textId="5F648A0F" w:rsidR="00A30B1E" w:rsidRPr="002D5AA3" w:rsidRDefault="008D1397" w:rsidP="002D5AA3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A30B1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lastRenderedPageBreak/>
        <w:t>СТРУКТУРА КУРСУ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050"/>
        <w:gridCol w:w="1243"/>
        <w:gridCol w:w="1407"/>
        <w:gridCol w:w="2511"/>
        <w:gridCol w:w="1133"/>
      </w:tblGrid>
      <w:tr w:rsidR="008D1397" w:rsidRPr="008D1397" w14:paraId="09BA98E1" w14:textId="77777777" w:rsidTr="002D5AA3">
        <w:tc>
          <w:tcPr>
            <w:tcW w:w="973" w:type="dxa"/>
            <w:shd w:val="clear" w:color="auto" w:fill="auto"/>
          </w:tcPr>
          <w:p w14:paraId="3A211232" w14:textId="77777777" w:rsidR="008D1397" w:rsidRPr="008D1397" w:rsidRDefault="008D1397" w:rsidP="000774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7050" w:type="dxa"/>
            <w:shd w:val="clear" w:color="auto" w:fill="auto"/>
          </w:tcPr>
          <w:p w14:paraId="21C3D1AC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43" w:type="dxa"/>
            <w:shd w:val="clear" w:color="auto" w:fill="auto"/>
          </w:tcPr>
          <w:p w14:paraId="704F6E3A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>Форма діяльності</w:t>
            </w:r>
          </w:p>
        </w:tc>
        <w:tc>
          <w:tcPr>
            <w:tcW w:w="1407" w:type="dxa"/>
            <w:shd w:val="clear" w:color="auto" w:fill="auto"/>
          </w:tcPr>
          <w:p w14:paraId="3244907F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Література </w:t>
            </w:r>
          </w:p>
        </w:tc>
        <w:tc>
          <w:tcPr>
            <w:tcW w:w="2511" w:type="dxa"/>
            <w:shd w:val="clear" w:color="auto" w:fill="auto"/>
          </w:tcPr>
          <w:p w14:paraId="0B68217F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>Завдання, год</w:t>
            </w:r>
          </w:p>
          <w:p w14:paraId="34D9B1F2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E8C5C38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8D1397" w:rsidRPr="008D1397" w14:paraId="4D1DEC7D" w14:textId="77777777" w:rsidTr="002D5AA3">
        <w:trPr>
          <w:trHeight w:val="1687"/>
        </w:trPr>
        <w:tc>
          <w:tcPr>
            <w:tcW w:w="973" w:type="dxa"/>
            <w:shd w:val="clear" w:color="auto" w:fill="auto"/>
          </w:tcPr>
          <w:p w14:paraId="56879C9F" w14:textId="66DCCA73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0" w:type="dxa"/>
            <w:shd w:val="clear" w:color="auto" w:fill="auto"/>
          </w:tcPr>
          <w:p w14:paraId="2B905209" w14:textId="1EBCEF5D" w:rsidR="008D1397" w:rsidRPr="008D1397" w:rsidRDefault="008D1397" w:rsidP="00077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D1397">
              <w:rPr>
                <w:rFonts w:ascii="Times New Roman" w:hAnsi="Times New Roman"/>
              </w:rPr>
              <w:t xml:space="preserve"> </w:t>
            </w:r>
            <w:r w:rsidRPr="008D1397">
              <w:rPr>
                <w:rFonts w:ascii="Times New Roman" w:hAnsi="Times New Roman"/>
                <w:b/>
                <w:sz w:val="20"/>
                <w:szCs w:val="20"/>
              </w:rPr>
              <w:t>Загальна характеристика  та аналіз діяльності бази практики.</w:t>
            </w:r>
            <w:r w:rsidRPr="008D1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A7E7AE" w14:textId="24AFB8D5" w:rsidR="008D1397" w:rsidRPr="008D1397" w:rsidRDefault="008D1397" w:rsidP="00077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D1397">
              <w:rPr>
                <w:rFonts w:ascii="Times New Roman" w:hAnsi="Times New Roman"/>
                <w:sz w:val="20"/>
                <w:szCs w:val="20"/>
              </w:rPr>
              <w:t>знайомлення студент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ів із технікою безпеки та </w:t>
            </w:r>
            <w:r w:rsidRPr="008D1397">
              <w:rPr>
                <w:rFonts w:ascii="Times New Roman" w:hAnsi="Times New Roman"/>
                <w:sz w:val="20"/>
                <w:szCs w:val="20"/>
              </w:rPr>
              <w:t>специфікою господарсько-фінансової діяльності підприємства – бази практики.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Розгляд </w:t>
            </w:r>
            <w:r w:rsidR="004773F7" w:rsidRPr="004773F7">
              <w:rPr>
                <w:rFonts w:ascii="Times New Roman" w:hAnsi="Times New Roman"/>
                <w:sz w:val="20"/>
                <w:szCs w:val="20"/>
              </w:rPr>
              <w:t>організаційн</w:t>
            </w:r>
            <w:r w:rsidR="004773F7">
              <w:rPr>
                <w:rFonts w:ascii="Times New Roman" w:hAnsi="Times New Roman"/>
                <w:sz w:val="20"/>
                <w:szCs w:val="20"/>
              </w:rPr>
              <w:t>ої</w:t>
            </w:r>
            <w:r w:rsidR="004773F7" w:rsidRPr="004773F7">
              <w:rPr>
                <w:rFonts w:ascii="Times New Roman" w:hAnsi="Times New Roman"/>
                <w:sz w:val="20"/>
                <w:szCs w:val="20"/>
              </w:rPr>
              <w:t xml:space="preserve"> структур</w:t>
            </w:r>
            <w:r w:rsidR="004773F7">
              <w:rPr>
                <w:rFonts w:ascii="Times New Roman" w:hAnsi="Times New Roman"/>
                <w:sz w:val="20"/>
                <w:szCs w:val="20"/>
              </w:rPr>
              <w:t>и</w:t>
            </w:r>
            <w:r w:rsidR="004773F7" w:rsidRPr="004773F7">
              <w:rPr>
                <w:rFonts w:ascii="Times New Roman" w:hAnsi="Times New Roman"/>
                <w:sz w:val="20"/>
                <w:szCs w:val="20"/>
              </w:rPr>
              <w:t xml:space="preserve"> управління підприємства</w:t>
            </w:r>
            <w:r w:rsidR="004773F7">
              <w:rPr>
                <w:rFonts w:ascii="Times New Roman" w:hAnsi="Times New Roman"/>
                <w:sz w:val="20"/>
                <w:szCs w:val="20"/>
              </w:rPr>
              <w:t>. Аналіз матеріально-технічної бази підприємства та бізнес-середовища функціонування підприємства.</w:t>
            </w:r>
          </w:p>
        </w:tc>
        <w:tc>
          <w:tcPr>
            <w:tcW w:w="1243" w:type="dxa"/>
            <w:shd w:val="clear" w:color="auto" w:fill="auto"/>
          </w:tcPr>
          <w:p w14:paraId="3AD1A721" w14:textId="382D079F" w:rsidR="008D1397" w:rsidRPr="008D1397" w:rsidRDefault="008D1397" w:rsidP="000774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Самостійна робота</w:t>
            </w: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14:paraId="1805733C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8B2402" w14:textId="625A4BC3" w:rsidR="008D1397" w:rsidRPr="008D1397" w:rsidRDefault="002D5AA3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2511" w:type="dxa"/>
            <w:shd w:val="clear" w:color="auto" w:fill="auto"/>
          </w:tcPr>
          <w:p w14:paraId="55F13C10" w14:textId="70259F05" w:rsidR="008D1397" w:rsidRPr="008D1397" w:rsidRDefault="004773F7" w:rsidP="000774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Збір інформації про підприємство – базу практики для написання першого розділу звіту</w:t>
            </w:r>
          </w:p>
        </w:tc>
        <w:tc>
          <w:tcPr>
            <w:tcW w:w="1133" w:type="dxa"/>
            <w:shd w:val="clear" w:color="auto" w:fill="auto"/>
          </w:tcPr>
          <w:p w14:paraId="229A1BC3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27DB8A" w14:textId="7280765F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Тиждень </w:t>
            </w:r>
            <w:r w:rsidR="004773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D1397" w:rsidRPr="008D1397" w14:paraId="161E925E" w14:textId="77777777" w:rsidTr="002D5AA3">
        <w:trPr>
          <w:trHeight w:val="944"/>
        </w:trPr>
        <w:tc>
          <w:tcPr>
            <w:tcW w:w="973" w:type="dxa"/>
            <w:shd w:val="clear" w:color="auto" w:fill="auto"/>
          </w:tcPr>
          <w:p w14:paraId="10064976" w14:textId="6C797F95" w:rsidR="008D1397" w:rsidRPr="00D445D8" w:rsidRDefault="004773F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0" w:type="dxa"/>
            <w:shd w:val="clear" w:color="auto" w:fill="auto"/>
          </w:tcPr>
          <w:p w14:paraId="5C3CE35F" w14:textId="2712AFDA" w:rsidR="008D1397" w:rsidRPr="008D1397" w:rsidRDefault="008D1397" w:rsidP="00077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4773F7">
              <w:t xml:space="preserve"> </w:t>
            </w:r>
            <w:r w:rsidR="004773F7" w:rsidRPr="004773F7">
              <w:rPr>
                <w:rFonts w:ascii="Times New Roman" w:hAnsi="Times New Roman"/>
                <w:b/>
                <w:sz w:val="20"/>
                <w:szCs w:val="20"/>
              </w:rPr>
              <w:t>Аналіз фінансово-господарської діяльності підприємства</w:t>
            </w:r>
            <w:r w:rsidRPr="008D13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D1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EB937F" w14:textId="75E22AE3" w:rsidR="002D5AA3" w:rsidRPr="008D1397" w:rsidRDefault="002D5AA3" w:rsidP="00077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Розраховуються узагальнюючі показники ефективності за останні 3 роки</w:t>
            </w:r>
            <w:r w:rsidR="008D1397" w:rsidRPr="008D139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Описується система нагляду та контролю за якістю продукції (послуги). Дається характеристика </w:t>
            </w:r>
            <w:r w:rsidRPr="002D5AA3">
              <w:rPr>
                <w:rFonts w:ascii="Times New Roman" w:hAnsi="Times New Roman"/>
                <w:sz w:val="20"/>
                <w:szCs w:val="20"/>
              </w:rPr>
              <w:t>персоналу підприємства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Аналізується фінансовий стан </w:t>
            </w:r>
            <w:r w:rsidRPr="002D5AA3">
              <w:rPr>
                <w:rFonts w:ascii="Times New Roman" w:hAnsi="Times New Roman"/>
                <w:sz w:val="20"/>
                <w:szCs w:val="20"/>
              </w:rPr>
              <w:t>підприємства для формування загального уявлення та загальних тенденцій його розвитку</w:t>
            </w:r>
            <w:r>
              <w:rPr>
                <w:rFonts w:ascii="Times New Roman" w:hAnsi="Times New Roman"/>
                <w:sz w:val="20"/>
                <w:szCs w:val="20"/>
              </w:rPr>
              <w:t>. Виконання індивідуального завдання.</w:t>
            </w:r>
          </w:p>
        </w:tc>
        <w:tc>
          <w:tcPr>
            <w:tcW w:w="1243" w:type="dxa"/>
            <w:shd w:val="clear" w:color="auto" w:fill="auto"/>
          </w:tcPr>
          <w:p w14:paraId="56D5E592" w14:textId="1C8AA581" w:rsidR="008D1397" w:rsidRPr="008D1397" w:rsidRDefault="004773F7" w:rsidP="000774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Самостійна робота</w:t>
            </w:r>
          </w:p>
        </w:tc>
        <w:tc>
          <w:tcPr>
            <w:tcW w:w="1407" w:type="dxa"/>
            <w:shd w:val="clear" w:color="auto" w:fill="auto"/>
          </w:tcPr>
          <w:p w14:paraId="66D4FEFC" w14:textId="1D9A08E3" w:rsidR="008D1397" w:rsidRPr="008D1397" w:rsidRDefault="002D5AA3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1-15</w:t>
            </w:r>
          </w:p>
          <w:p w14:paraId="7F2957A6" w14:textId="3C853B88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701482B3" w14:textId="3C800A7B" w:rsidR="008D1397" w:rsidRPr="008D1397" w:rsidRDefault="00D445D8" w:rsidP="000774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Збір інформації про підприємство – базу практики для написання другого розділу звіту</w:t>
            </w:r>
          </w:p>
        </w:tc>
        <w:tc>
          <w:tcPr>
            <w:tcW w:w="1133" w:type="dxa"/>
            <w:shd w:val="clear" w:color="auto" w:fill="auto"/>
          </w:tcPr>
          <w:p w14:paraId="5DE6EF8E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F811564" w14:textId="214991CF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Тиждень </w:t>
            </w:r>
            <w:r w:rsidR="00D445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D5AA3"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</w:tr>
      <w:tr w:rsidR="008D1397" w:rsidRPr="008D1397" w14:paraId="1DD07380" w14:textId="77777777" w:rsidTr="002D5AA3">
        <w:tc>
          <w:tcPr>
            <w:tcW w:w="973" w:type="dxa"/>
            <w:shd w:val="clear" w:color="auto" w:fill="auto"/>
          </w:tcPr>
          <w:p w14:paraId="2DE1EF80" w14:textId="4CD107BB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0" w:type="dxa"/>
            <w:shd w:val="clear" w:color="auto" w:fill="auto"/>
          </w:tcPr>
          <w:p w14:paraId="4FADC2B0" w14:textId="46F0404D" w:rsidR="008D1397" w:rsidRPr="008D1397" w:rsidRDefault="008D1397" w:rsidP="00077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D1397">
              <w:rPr>
                <w:rFonts w:ascii="Times New Roman" w:hAnsi="Times New Roman"/>
              </w:rPr>
              <w:t xml:space="preserve"> </w:t>
            </w:r>
            <w:r w:rsidR="002D5AA3" w:rsidRPr="002D5AA3">
              <w:rPr>
                <w:rFonts w:ascii="Times New Roman" w:hAnsi="Times New Roman"/>
                <w:b/>
                <w:sz w:val="20"/>
                <w:szCs w:val="20"/>
              </w:rPr>
              <w:t>Перспективи розвитку підприємства – бази практики</w:t>
            </w:r>
            <w:r w:rsidRPr="008D13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D1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12B4D3" w14:textId="42863FD7" w:rsidR="002D5AA3" w:rsidRPr="008D1397" w:rsidRDefault="002D5AA3" w:rsidP="00077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D5AA3">
              <w:rPr>
                <w:rFonts w:ascii="Times New Roman" w:hAnsi="Times New Roman"/>
                <w:sz w:val="20"/>
                <w:szCs w:val="20"/>
              </w:rPr>
              <w:t>бґрунтувати рекомендації щодо напрямів усунення недоліків та покращення результатів господарської діяльності підприємства, вдосконалення управлінського механізму, важелів здійснення організаційних перетворень тощо.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14:paraId="57906997" w14:textId="407E4061" w:rsidR="008D1397" w:rsidRPr="008D1397" w:rsidRDefault="004773F7" w:rsidP="000774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Самостійна робота</w:t>
            </w:r>
          </w:p>
        </w:tc>
        <w:tc>
          <w:tcPr>
            <w:tcW w:w="1407" w:type="dxa"/>
            <w:shd w:val="clear" w:color="auto" w:fill="auto"/>
          </w:tcPr>
          <w:p w14:paraId="5A2F9953" w14:textId="158725C3" w:rsidR="008D1397" w:rsidRPr="008D1397" w:rsidRDefault="002D5AA3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1-15</w:t>
            </w:r>
          </w:p>
          <w:p w14:paraId="508C30ED" w14:textId="5E49A61F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2D3DC8D8" w14:textId="3C89E3EB" w:rsidR="008D1397" w:rsidRPr="008D1397" w:rsidRDefault="002D5AA3" w:rsidP="000774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AA3">
              <w:rPr>
                <w:rFonts w:ascii="Times New Roman" w:hAnsi="Times New Roman"/>
                <w:color w:val="000000"/>
                <w:sz w:val="20"/>
                <w:szCs w:val="20"/>
              </w:rPr>
              <w:t>Збір інформації про підприємство – базу практики для написання другого розділу звіту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Виконання індивідуального завдання</w:t>
            </w:r>
          </w:p>
        </w:tc>
        <w:tc>
          <w:tcPr>
            <w:tcW w:w="1133" w:type="dxa"/>
            <w:shd w:val="clear" w:color="auto" w:fill="auto"/>
          </w:tcPr>
          <w:p w14:paraId="364ECAA8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7C14DC0" w14:textId="4E7881F9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Тиждень </w:t>
            </w:r>
            <w:r w:rsidR="002D5A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D1397" w:rsidRPr="008D1397" w14:paraId="766F226C" w14:textId="77777777" w:rsidTr="002D5AA3">
        <w:trPr>
          <w:trHeight w:val="1480"/>
        </w:trPr>
        <w:tc>
          <w:tcPr>
            <w:tcW w:w="973" w:type="dxa"/>
            <w:shd w:val="clear" w:color="auto" w:fill="auto"/>
          </w:tcPr>
          <w:p w14:paraId="60EBCA8B" w14:textId="648109F2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0" w:type="dxa"/>
            <w:shd w:val="clear" w:color="auto" w:fill="auto"/>
          </w:tcPr>
          <w:p w14:paraId="50C6168E" w14:textId="2C4EA366" w:rsidR="008D1397" w:rsidRPr="008D1397" w:rsidRDefault="008D1397" w:rsidP="00077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D1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AA3">
              <w:rPr>
                <w:rFonts w:ascii="Times New Roman" w:hAnsi="Times New Roman"/>
                <w:b/>
                <w:sz w:val="20"/>
                <w:szCs w:val="20"/>
              </w:rPr>
              <w:t>Висновки</w:t>
            </w:r>
            <w:r w:rsidRPr="008D13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D1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5C1A2E" w14:textId="615129E8" w:rsidR="008D1397" w:rsidRPr="008D1397" w:rsidRDefault="002D5AA3" w:rsidP="00077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D5AA3">
              <w:rPr>
                <w:rFonts w:ascii="Times New Roman" w:hAnsi="Times New Roman"/>
                <w:sz w:val="20"/>
                <w:szCs w:val="20"/>
              </w:rPr>
              <w:t>а підставі отриманих під час проходження виробничої практики даних, студент самостійно розробляє рекомендації щодо удосконалення діяльності підприємства чи окремих його підрозділів. Пропозиції повинні мати практичне значення.</w:t>
            </w:r>
          </w:p>
        </w:tc>
        <w:tc>
          <w:tcPr>
            <w:tcW w:w="1243" w:type="dxa"/>
            <w:shd w:val="clear" w:color="auto" w:fill="auto"/>
          </w:tcPr>
          <w:p w14:paraId="376EBE1C" w14:textId="0B02B2B2" w:rsidR="008D1397" w:rsidRPr="008D1397" w:rsidRDefault="004773F7" w:rsidP="000774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3F7">
              <w:rPr>
                <w:rFonts w:ascii="Times New Roman" w:hAnsi="Times New Roman"/>
                <w:color w:val="000000"/>
                <w:sz w:val="20"/>
                <w:szCs w:val="20"/>
              </w:rPr>
              <w:t>Самостійна робота</w:t>
            </w:r>
          </w:p>
        </w:tc>
        <w:tc>
          <w:tcPr>
            <w:tcW w:w="1407" w:type="dxa"/>
            <w:shd w:val="clear" w:color="auto" w:fill="auto"/>
          </w:tcPr>
          <w:p w14:paraId="0253EDDC" w14:textId="4A76EBAC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68D8CD76" w14:textId="32E7F30C" w:rsidR="008D1397" w:rsidRPr="008D1397" w:rsidRDefault="002D5AA3" w:rsidP="000774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Формування висновків. Написання та оформлення звіту.</w:t>
            </w:r>
          </w:p>
        </w:tc>
        <w:tc>
          <w:tcPr>
            <w:tcW w:w="1133" w:type="dxa"/>
            <w:shd w:val="clear" w:color="auto" w:fill="auto"/>
          </w:tcPr>
          <w:p w14:paraId="604F1F14" w14:textId="77777777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6832BB" w14:textId="4084AA80" w:rsidR="008D1397" w:rsidRPr="008D1397" w:rsidRDefault="008D1397" w:rsidP="00077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Тиждень </w:t>
            </w:r>
            <w:r w:rsidR="002D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16482080" w14:textId="77777777" w:rsidR="00A30B1E" w:rsidRPr="00A30B1E" w:rsidRDefault="00A30B1E" w:rsidP="00A30B1E">
      <w:pPr>
        <w:rPr>
          <w:rFonts w:ascii="Times New Roman" w:hAnsi="Times New Roman"/>
          <w:sz w:val="24"/>
          <w:szCs w:val="24"/>
        </w:rPr>
      </w:pPr>
      <w:r w:rsidRPr="00A30B1E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A30B1E">
        <w:rPr>
          <w:rFonts w:ascii="Times New Roman" w:hAnsi="Times New Roman"/>
          <w:sz w:val="24"/>
          <w:szCs w:val="24"/>
        </w:rPr>
        <w:t>силабус</w:t>
      </w:r>
      <w:proofErr w:type="spellEnd"/>
      <w:r w:rsidRPr="00A30B1E">
        <w:rPr>
          <w:rFonts w:ascii="Times New Roman" w:hAnsi="Times New Roman"/>
          <w:sz w:val="24"/>
          <w:szCs w:val="24"/>
        </w:rPr>
        <w:t xml:space="preserve"> є орієнтовним і може бути зміненим у випадку необхідності чи інших обставин.</w:t>
      </w:r>
    </w:p>
    <w:p w14:paraId="44754809" w14:textId="62595EDA" w:rsidR="002D5AA3" w:rsidRPr="00962D0E" w:rsidRDefault="00962D0E" w:rsidP="00962D0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Майовець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Я.М.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sectPr w:rsidR="002D5AA3" w:rsidRPr="00962D0E" w:rsidSect="008D1397">
      <w:pgSz w:w="16819" w:h="11894" w:orient="landscape"/>
      <w:pgMar w:top="850" w:right="850" w:bottom="1411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69DE"/>
    <w:multiLevelType w:val="hybridMultilevel"/>
    <w:tmpl w:val="1F9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5C28"/>
    <w:multiLevelType w:val="hybridMultilevel"/>
    <w:tmpl w:val="51127C5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2CB2"/>
    <w:rsid w:val="00056A43"/>
    <w:rsid w:val="000D40FE"/>
    <w:rsid w:val="0010499E"/>
    <w:rsid w:val="001D7EF0"/>
    <w:rsid w:val="001F6C8F"/>
    <w:rsid w:val="00264EDC"/>
    <w:rsid w:val="00273885"/>
    <w:rsid w:val="002818A4"/>
    <w:rsid w:val="002850BA"/>
    <w:rsid w:val="002B745B"/>
    <w:rsid w:val="002D00AE"/>
    <w:rsid w:val="002D5AA3"/>
    <w:rsid w:val="00321D2C"/>
    <w:rsid w:val="003414E4"/>
    <w:rsid w:val="003A5DE5"/>
    <w:rsid w:val="003C3A61"/>
    <w:rsid w:val="004773F7"/>
    <w:rsid w:val="005B0D6A"/>
    <w:rsid w:val="005D5E69"/>
    <w:rsid w:val="00647C5F"/>
    <w:rsid w:val="006769FE"/>
    <w:rsid w:val="006A46A3"/>
    <w:rsid w:val="006A6169"/>
    <w:rsid w:val="006D70D9"/>
    <w:rsid w:val="007A5166"/>
    <w:rsid w:val="007C2E9A"/>
    <w:rsid w:val="007E27B2"/>
    <w:rsid w:val="00802466"/>
    <w:rsid w:val="008D1397"/>
    <w:rsid w:val="00902066"/>
    <w:rsid w:val="00962D0E"/>
    <w:rsid w:val="00973DFC"/>
    <w:rsid w:val="009D72AE"/>
    <w:rsid w:val="00A2255E"/>
    <w:rsid w:val="00A30B1E"/>
    <w:rsid w:val="00A42B7D"/>
    <w:rsid w:val="00AD204A"/>
    <w:rsid w:val="00B75914"/>
    <w:rsid w:val="00BE5262"/>
    <w:rsid w:val="00BF5CD1"/>
    <w:rsid w:val="00C63BB5"/>
    <w:rsid w:val="00C7035F"/>
    <w:rsid w:val="00C77C05"/>
    <w:rsid w:val="00CE03B1"/>
    <w:rsid w:val="00D445D8"/>
    <w:rsid w:val="00D63B44"/>
    <w:rsid w:val="00E43E38"/>
    <w:rsid w:val="00E44CA3"/>
    <w:rsid w:val="00E577FC"/>
    <w:rsid w:val="00E77DAB"/>
    <w:rsid w:val="00EF22BC"/>
    <w:rsid w:val="00F34D3B"/>
    <w:rsid w:val="00F4676C"/>
    <w:rsid w:val="00F87082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8B85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88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55E"/>
    <w:rPr>
      <w:color w:val="605E5C"/>
      <w:shd w:val="clear" w:color="auto" w:fill="E1DFDD"/>
    </w:rPr>
  </w:style>
  <w:style w:type="character" w:styleId="a5">
    <w:name w:val="Strong"/>
    <w:uiPriority w:val="22"/>
    <w:qFormat/>
    <w:rsid w:val="00012CB2"/>
    <w:rPr>
      <w:b/>
      <w:bCs/>
    </w:rPr>
  </w:style>
  <w:style w:type="paragraph" w:styleId="3">
    <w:name w:val="Body Text Indent 3"/>
    <w:basedOn w:val="a"/>
    <w:link w:val="30"/>
    <w:rsid w:val="00F87082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F87082"/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u.edu.ua/wp-content/uploads/2021/05/reg_practice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a.Ilkiv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yna.mayovets@l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9FED48-296A-42CC-BBFA-4D47A1A8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2695</Words>
  <Characters>15365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Mayovets Yaryna</dc:creator>
  <cp:keywords/>
  <dc:description/>
  <cp:lastModifiedBy>Natalia</cp:lastModifiedBy>
  <cp:revision>13</cp:revision>
  <cp:lastPrinted>2021-01-25T11:50:00Z</cp:lastPrinted>
  <dcterms:created xsi:type="dcterms:W3CDTF">2021-08-25T07:52:00Z</dcterms:created>
  <dcterms:modified xsi:type="dcterms:W3CDTF">2022-11-11T12:06:00Z</dcterms:modified>
  <cp:category/>
</cp:coreProperties>
</file>