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Pr="00752C01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FE1359">
        <w:rPr>
          <w:rFonts w:ascii="Times New Roman" w:eastAsia="Times New Roman" w:hAnsi="Times New Roman"/>
          <w:b/>
          <w:color w:val="000000"/>
          <w:sz w:val="32"/>
          <w:szCs w:val="32"/>
        </w:rPr>
        <w:t>Електронна комерція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FE1359" w:rsidRPr="00B75914" w:rsidRDefault="00FE1359" w:rsidP="00FE13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57DFE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E" w:rsidRPr="00CF678C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C57DFE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6B694C" w:rsidRDefault="00C57DFE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57DFE">
              <w:rPr>
                <w:rFonts w:ascii="Times New Roman" w:hAnsi="Times New Roman"/>
                <w:sz w:val="24"/>
              </w:rPr>
              <w:t>створення проектів електронної комерції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, </w:t>
            </w:r>
            <w:r w:rsidR="00C57DFE">
              <w:rPr>
                <w:rFonts w:ascii="Times New Roman" w:hAnsi="Times New Roman"/>
                <w:sz w:val="24"/>
              </w:rPr>
              <w:t>проведення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електронних платежів, </w:t>
            </w:r>
            <w:r w:rsidR="00C57DFE">
              <w:rPr>
                <w:rFonts w:ascii="Times New Roman" w:hAnsi="Times New Roman"/>
                <w:sz w:val="24"/>
              </w:rPr>
              <w:t>організації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захисту інформації,</w:t>
            </w:r>
            <w:r w:rsidR="00C57DFE">
              <w:rPr>
                <w:rFonts w:ascii="Times New Roman" w:hAnsi="Times New Roman"/>
                <w:sz w:val="24"/>
              </w:rPr>
              <w:t xml:space="preserve"> створення</w:t>
            </w:r>
            <w:r w:rsidR="004C5982">
              <w:rPr>
                <w:rFonts w:ascii="Times New Roman" w:hAnsi="Times New Roman"/>
                <w:sz w:val="24"/>
              </w:rPr>
              <w:t xml:space="preserve"> </w:t>
            </w:r>
            <w:r w:rsidR="00C57DFE">
              <w:rPr>
                <w:rFonts w:ascii="Times New Roman" w:hAnsi="Times New Roman"/>
                <w:sz w:val="24"/>
              </w:rPr>
              <w:t>контекстної реклами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нормативною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>дисципліною з спеціальності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EC36D2">
              <w:rPr>
                <w:rFonts w:ascii="Times New Roman" w:hAnsi="Times New Roman"/>
              </w:rPr>
              <w:t>073 «Менеджмент» спеціалізації «Інформаційні системи в менеджменті»</w:t>
            </w:r>
            <w:r w:rsidR="00C57DFE">
              <w:rPr>
                <w:rFonts w:ascii="Times New Roman" w:hAnsi="Times New Roman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підготовки бакалаврів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56379A" w:rsidRPr="0056379A">
              <w:rPr>
                <w:rFonts w:ascii="Times New Roman" w:hAnsi="Times New Roman"/>
                <w:sz w:val="24"/>
              </w:rPr>
              <w:t xml:space="preserve">надання теоретичних і практичних знань щодо виконання </w:t>
            </w:r>
            <w:r w:rsidR="009B6BEA">
              <w:rPr>
                <w:rFonts w:ascii="Times New Roman" w:hAnsi="Times New Roman"/>
                <w:sz w:val="24"/>
              </w:rPr>
              <w:t>комерційних</w:t>
            </w:r>
            <w:r w:rsidR="0056379A" w:rsidRPr="0056379A">
              <w:rPr>
                <w:rFonts w:ascii="Times New Roman" w:hAnsi="Times New Roman"/>
                <w:sz w:val="24"/>
              </w:rPr>
              <w:t xml:space="preserve"> угод з використанням електронних засобів. Дисципліна дає ґрунтовні теоретичні знання i практичні навики створення та ведення проектів електронно</w:t>
            </w:r>
            <w:r w:rsidR="009B6BEA">
              <w:rPr>
                <w:rFonts w:ascii="Times New Roman" w:hAnsi="Times New Roman"/>
                <w:sz w:val="24"/>
              </w:rPr>
              <w:t>ї</w:t>
            </w:r>
            <w:r w:rsidR="0056379A" w:rsidRPr="0056379A">
              <w:rPr>
                <w:rFonts w:ascii="Times New Roman" w:hAnsi="Times New Roman"/>
                <w:sz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</w:rPr>
              <w:t>комерції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AB1056" w:rsidRPr="00AB1056" w:rsidRDefault="00AB1056" w:rsidP="00AB105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О. Г. Основи електронного бізнесу: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Олександра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Львів: ЛНУ імені Івана Франка, 2018. – 176 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D84C68" w:rsidRPr="00D84C68" w:rsidRDefault="00D84C68" w:rsidP="00D84C68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68">
              <w:rPr>
                <w:rFonts w:ascii="Times New Roman" w:hAnsi="Times New Roman"/>
                <w:sz w:val="24"/>
                <w:szCs w:val="24"/>
              </w:rPr>
              <w:t xml:space="preserve">Зайцева О.О., </w:t>
            </w:r>
            <w:proofErr w:type="spellStart"/>
            <w:r w:rsidRPr="00D84C68">
              <w:rPr>
                <w:rFonts w:ascii="Times New Roman" w:hAnsi="Times New Roman"/>
                <w:sz w:val="24"/>
                <w:szCs w:val="24"/>
              </w:rPr>
              <w:t>Болотинюк</w:t>
            </w:r>
            <w:proofErr w:type="spellEnd"/>
            <w:r w:rsidRPr="00D84C68">
              <w:rPr>
                <w:rFonts w:ascii="Times New Roman" w:hAnsi="Times New Roman"/>
                <w:sz w:val="24"/>
                <w:szCs w:val="24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Т. М. Електронна комерція: Навчальний посібник /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Т.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Стрельчук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Є.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 Ю. В. – Одеса: ОНАЗ ім. О. С. Попова, 2011. – 244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Шалева О. І. Електронна комерція.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/ О. І. Шалева. – К.: Центр учбової літератури, 2011. – 216 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www.youtube.com/channel/UCgee5NZ-mdfNkrAOokgEccg</w:t>
            </w:r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eL</w:t>
            </w:r>
            <w:r w:rsidRPr="0079076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ama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79076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elama.ru/blog/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</w:t>
            </w:r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world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ppc.world</w:t>
            </w:r>
            <w:proofErr w:type="spellEnd"/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Z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P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letnev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www.zushipletnev.com/blog/</w:t>
            </w:r>
          </w:p>
          <w:p w:rsidR="00DD60E0" w:rsidRPr="00AB1056" w:rsidRDefault="00DD60E0" w:rsidP="00225B1A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Артема</w:t>
            </w:r>
            <w:r w:rsidRPr="005749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Мазура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artemmazur.ru/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vse-stati-bloga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B22568" w:rsidRPr="00AB1056" w:rsidRDefault="00DD60E0" w:rsidP="00225B1A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Даниила</w:t>
            </w:r>
            <w:proofErr w:type="spellEnd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749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Шардакова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shard-copywriting.ru/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all-articles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>місце та роль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в інформаційному секторі економіки; моделі 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бізнесу; переваги 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AB297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1B2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комерція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інтернет-маркетинг, </w:t>
            </w:r>
            <w:r w:rsidR="001B214B">
              <w:rPr>
                <w:rFonts w:ascii="Times New Roman" w:hAnsi="Times New Roman"/>
                <w:sz w:val="24"/>
                <w:szCs w:val="24"/>
              </w:rPr>
              <w:t xml:space="preserve">інтернет-магазин,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психологічні тригери, 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с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торінка приземлення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айджест повідомлення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ропшипінг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EF4E51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51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EF4E51" w:rsidRPr="00EF4E51">
              <w:rPr>
                <w:rFonts w:ascii="Times New Roman" w:hAnsi="Times New Roman"/>
                <w:sz w:val="24"/>
                <w:szCs w:val="24"/>
              </w:rPr>
              <w:t>Електронна комерція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>вимагає знань з дисципліни «Інформатика»</w:t>
            </w:r>
            <w:r w:rsidR="00EF4E51" w:rsidRPr="00EF4E51">
              <w:rPr>
                <w:rFonts w:ascii="Times New Roman" w:hAnsi="Times New Roman"/>
                <w:sz w:val="24"/>
                <w:szCs w:val="24"/>
              </w:rPr>
              <w:t>, «Основи економічної науки», «Мікроекономіка», «Мак</w:t>
            </w:r>
            <w:r w:rsidR="00C721A7">
              <w:rPr>
                <w:rFonts w:ascii="Times New Roman" w:hAnsi="Times New Roman"/>
                <w:sz w:val="24"/>
                <w:szCs w:val="24"/>
              </w:rPr>
              <w:t>роекономіка»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курсу потребує використання такого програмного забезпечення: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електронної комерції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низки інтернет-сервісів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ьна кількість балів 3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557E9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2</w:t>
            </w:r>
            <w:r w:rsidR="007557E9"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2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A0FF6" w:rsidRDefault="004A0FF6" w:rsidP="004A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4A0FF6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1D1D4A">
        <w:trPr>
          <w:trHeight w:val="990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Механізми підтримки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електронного бізнесу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– це:</w:t>
            </w:r>
          </w:p>
          <w:p w:rsidR="001D1D4A" w:rsidRPr="00012D9F" w:rsidRDefault="001D1D4A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>
              <w:rPr>
                <w:rFonts w:ascii="Times New Roman" w:hAnsi="Times New Roman"/>
                <w:sz w:val="24"/>
                <w:szCs w:val="24"/>
              </w:rPr>
              <w:t>а комерція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Моделі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бізнес-взаємодії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Віртуальне підприємство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передбачає: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Переваги електронного бізнесу: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Переваги інтернет-маркетингу: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Електронний гаманець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гроші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Смарт-картка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-картка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Типи платіжних карток, які використовують для розрахунків у мережі Інтернет: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Платіжна система в Інтернет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Банк-емітент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Банк-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екваєр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центр платіжної системи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Розрахунковий банк платіжної системи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Традиційна платіжна система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українських платіжних систем з електронною готівкою: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чеки – це: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Способи оплати у межах мережі Інтернет: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кредитними картками: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дебетними картками: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віртуальних кредитних карток: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міжнародних платіжних систем з електронною готівкою: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Вимоги до платіжних систем в Інтернет: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ідентифікації в проектах електронного бізнесу передбачає: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Способи створення проектів електронного бізнесу: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Python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Система управління контентом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-сервери: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Локальний </w:t>
            </w:r>
            <w:r w:rsidRPr="00012D9F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1D1D4A">
            <w:pPr>
              <w:pStyle w:val="10"/>
              <w:numPr>
                <w:ilvl w:val="0"/>
                <w:numId w:val="13"/>
              </w:numPr>
              <w:spacing w:before="0" w:line="240" w:lineRule="auto"/>
              <w:ind w:left="412" w:hanging="412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012D9F">
              <w:rPr>
                <w:rStyle w:val="a7"/>
                <w:rFonts w:cs="Times New Roman"/>
                <w:b w:val="0"/>
                <w:sz w:val="24"/>
                <w:szCs w:val="24"/>
              </w:rPr>
              <w:t>CMS-системи виконують такі функції: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універсальних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спеціалізованих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Конверсія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Цільовий трафік–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Сторінка приземлення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CTB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CTI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CPM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CPA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CPL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PPC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lastRenderedPageBreak/>
              <w:t>кі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протоколи не використовують для захисту інформації в електронному бізнесі: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Протокол SSL передбачає встановлення такого програмного забезпечення: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Встановлення якого програмного забезпечення не вимагає реалізація протоколу SET: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Стандарт SPA/UCAF працює з: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Асиметричне шифрування або криптографія з відкритим ключем – це шифрування за такою схемою: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Дайджест повідомлення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Нова версія протоколу SSL має назву: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У протоколі SET всі учасники обмінюються: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Chip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Password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випадкового пошкодження чи знищення інформації: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несанкціонованого доступу чи навмисного пошкодження або знищення інформації: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Методами керування доступом з метою захисту інформації в мережі Інтернет є: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Методами розширення парольного захисту в мережі Інтернет є: 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Адміністративні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Дропшипінг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маркетплейсі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Розетка передбачає: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Існують такі стратегії торгів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Лістинг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1D1D4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Причини видалення оголошень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OLX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012D9F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1670CD"/>
    <w:rsid w:val="00195508"/>
    <w:rsid w:val="001B214B"/>
    <w:rsid w:val="001D1D4A"/>
    <w:rsid w:val="00225B1A"/>
    <w:rsid w:val="00236BF2"/>
    <w:rsid w:val="00255C02"/>
    <w:rsid w:val="002A338E"/>
    <w:rsid w:val="002A56D4"/>
    <w:rsid w:val="002E5E0D"/>
    <w:rsid w:val="002F1304"/>
    <w:rsid w:val="00345EC0"/>
    <w:rsid w:val="003B2E08"/>
    <w:rsid w:val="0048677E"/>
    <w:rsid w:val="00486BAA"/>
    <w:rsid w:val="004A0FF6"/>
    <w:rsid w:val="004C5982"/>
    <w:rsid w:val="00516AC9"/>
    <w:rsid w:val="00544E35"/>
    <w:rsid w:val="005521DB"/>
    <w:rsid w:val="0056379A"/>
    <w:rsid w:val="005C1E56"/>
    <w:rsid w:val="005D01DB"/>
    <w:rsid w:val="005D7539"/>
    <w:rsid w:val="00650975"/>
    <w:rsid w:val="006905A4"/>
    <w:rsid w:val="006B694C"/>
    <w:rsid w:val="006C0DFD"/>
    <w:rsid w:val="0070119C"/>
    <w:rsid w:val="00715647"/>
    <w:rsid w:val="00752C01"/>
    <w:rsid w:val="007557E9"/>
    <w:rsid w:val="00793E76"/>
    <w:rsid w:val="007A2F63"/>
    <w:rsid w:val="008A43A5"/>
    <w:rsid w:val="008A4639"/>
    <w:rsid w:val="0094793F"/>
    <w:rsid w:val="009B21A1"/>
    <w:rsid w:val="009B6BEA"/>
    <w:rsid w:val="00A20DD3"/>
    <w:rsid w:val="00A27425"/>
    <w:rsid w:val="00A61D71"/>
    <w:rsid w:val="00A773CF"/>
    <w:rsid w:val="00AB1056"/>
    <w:rsid w:val="00AB2971"/>
    <w:rsid w:val="00AB3946"/>
    <w:rsid w:val="00B22568"/>
    <w:rsid w:val="00B67DA4"/>
    <w:rsid w:val="00BB3926"/>
    <w:rsid w:val="00BD0A9B"/>
    <w:rsid w:val="00C00FA4"/>
    <w:rsid w:val="00C32B35"/>
    <w:rsid w:val="00C3667A"/>
    <w:rsid w:val="00C52DDA"/>
    <w:rsid w:val="00C57DFE"/>
    <w:rsid w:val="00C721A7"/>
    <w:rsid w:val="00CE3518"/>
    <w:rsid w:val="00D17ECA"/>
    <w:rsid w:val="00D5247A"/>
    <w:rsid w:val="00D84C68"/>
    <w:rsid w:val="00DD60E0"/>
    <w:rsid w:val="00E71F8B"/>
    <w:rsid w:val="00EF4E51"/>
    <w:rsid w:val="00F60E6E"/>
    <w:rsid w:val="00F67152"/>
    <w:rsid w:val="00F97944"/>
    <w:rsid w:val="00FC65C7"/>
    <w:rsid w:val="00FE135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27E2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semiHidden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59</cp:revision>
  <dcterms:created xsi:type="dcterms:W3CDTF">2020-09-21T21:44:00Z</dcterms:created>
  <dcterms:modified xsi:type="dcterms:W3CDTF">2020-11-18T19:44:00Z</dcterms:modified>
</cp:coreProperties>
</file>