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  <w:r w:rsidRPr="00652684">
        <w:rPr>
          <w:szCs w:val="28"/>
        </w:rPr>
        <w:t>Міністерство освіти і науки України</w:t>
      </w: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  <w:r w:rsidRPr="00652684">
        <w:rPr>
          <w:szCs w:val="28"/>
        </w:rPr>
        <w:t>Львівський національний університет імені Івана Франка</w:t>
      </w: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  <w:r w:rsidRPr="00652684">
        <w:rPr>
          <w:szCs w:val="28"/>
        </w:rPr>
        <w:t>Кафедра обліку і аудит</w:t>
      </w:r>
      <w:r w:rsidR="00AF5301">
        <w:rPr>
          <w:szCs w:val="28"/>
        </w:rPr>
        <w:t>у</w:t>
      </w: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  <w:r w:rsidRPr="00652684">
        <w:rPr>
          <w:szCs w:val="28"/>
        </w:rPr>
        <w:t>ПРАКТИКУМ</w:t>
      </w: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  <w:r w:rsidRPr="00652684">
        <w:rPr>
          <w:szCs w:val="28"/>
        </w:rPr>
        <w:t xml:space="preserve">з дисципліни «Історія обліку і оподаткування» </w:t>
      </w: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  <w:r w:rsidRPr="00652684">
        <w:rPr>
          <w:szCs w:val="28"/>
        </w:rPr>
        <w:t xml:space="preserve">для студентів економічного факультету спеціальності «Облік і </w:t>
      </w:r>
      <w:r w:rsidR="002A3532">
        <w:rPr>
          <w:szCs w:val="28"/>
        </w:rPr>
        <w:t>оподаткування</w:t>
      </w:r>
      <w:r w:rsidRPr="00652684">
        <w:rPr>
          <w:szCs w:val="28"/>
        </w:rPr>
        <w:t>»</w:t>
      </w: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</w:p>
    <w:p w:rsidR="00CC2EC5" w:rsidRPr="00652684" w:rsidRDefault="00CC2EC5" w:rsidP="00AF5301">
      <w:pPr>
        <w:pStyle w:val="a3"/>
        <w:spacing w:line="480" w:lineRule="auto"/>
        <w:ind w:left="0"/>
        <w:contextualSpacing/>
        <w:jc w:val="left"/>
        <w:rPr>
          <w:szCs w:val="28"/>
        </w:rPr>
      </w:pPr>
    </w:p>
    <w:tbl>
      <w:tblPr>
        <w:tblStyle w:val="a5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CC2EC5" w:rsidRPr="00652684" w:rsidTr="00CC2EC5">
        <w:tc>
          <w:tcPr>
            <w:tcW w:w="4672" w:type="dxa"/>
          </w:tcPr>
          <w:p w:rsidR="00CC2EC5" w:rsidRPr="00652684" w:rsidRDefault="00CC2EC5" w:rsidP="002A3532">
            <w:pPr>
              <w:pStyle w:val="a3"/>
              <w:spacing w:line="480" w:lineRule="auto"/>
              <w:contextualSpacing/>
              <w:jc w:val="left"/>
              <w:rPr>
                <w:szCs w:val="28"/>
              </w:rPr>
            </w:pPr>
          </w:p>
        </w:tc>
      </w:tr>
      <w:tr w:rsidR="00CC2EC5" w:rsidRPr="00652684" w:rsidTr="00CC2EC5">
        <w:tc>
          <w:tcPr>
            <w:tcW w:w="4672" w:type="dxa"/>
          </w:tcPr>
          <w:p w:rsidR="00CC2EC5" w:rsidRPr="00652684" w:rsidRDefault="00CC2EC5" w:rsidP="002A3532">
            <w:pPr>
              <w:pStyle w:val="a3"/>
              <w:spacing w:line="480" w:lineRule="auto"/>
              <w:contextualSpacing/>
              <w:jc w:val="left"/>
              <w:rPr>
                <w:szCs w:val="28"/>
              </w:rPr>
            </w:pPr>
          </w:p>
        </w:tc>
      </w:tr>
    </w:tbl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</w:p>
    <w:p w:rsidR="00CC2EC5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</w:p>
    <w:p w:rsidR="002A2FB2" w:rsidRPr="00652684" w:rsidRDefault="00CC2EC5" w:rsidP="00AF5301">
      <w:pPr>
        <w:pStyle w:val="a3"/>
        <w:spacing w:line="480" w:lineRule="auto"/>
        <w:ind w:firstLine="709"/>
        <w:contextualSpacing/>
        <w:rPr>
          <w:szCs w:val="28"/>
        </w:rPr>
      </w:pPr>
      <w:r w:rsidRPr="00652684">
        <w:rPr>
          <w:szCs w:val="28"/>
        </w:rPr>
        <w:t>Львів 20</w:t>
      </w:r>
      <w:r w:rsidR="002A3532">
        <w:rPr>
          <w:szCs w:val="28"/>
        </w:rPr>
        <w:t>20</w:t>
      </w:r>
    </w:p>
    <w:p w:rsidR="00652684" w:rsidRPr="00652684" w:rsidRDefault="00652684" w:rsidP="00AF5301">
      <w:pPr>
        <w:pStyle w:val="a3"/>
        <w:spacing w:line="480" w:lineRule="auto"/>
        <w:ind w:firstLine="709"/>
        <w:contextualSpacing/>
        <w:rPr>
          <w:szCs w:val="28"/>
        </w:rPr>
      </w:pPr>
    </w:p>
    <w:p w:rsidR="00652684" w:rsidRPr="00652684" w:rsidRDefault="00652684" w:rsidP="00AF5301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lastRenderedPageBreak/>
        <w:t>Тема 1. Причини, умови і закономірності виникнення та розвитку облік</w:t>
      </w: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 xml:space="preserve">Завдання 1.1. </w:t>
      </w: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 xml:space="preserve">Проаналізувати причини </w:t>
      </w:r>
      <w:r w:rsidRPr="00652684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виникнення обліку та дати оцінку за </w:t>
      </w:r>
      <w:r w:rsidRPr="00652684">
        <w:rPr>
          <w:rFonts w:ascii="Times New Roman" w:hAnsi="Times New Roman" w:cs="Times New Roman"/>
          <w:sz w:val="28"/>
          <w:szCs w:val="28"/>
        </w:rPr>
        <w:t>5-ти бальною шкалою оцінювання (з наростаючою вагою оцінки від 1 до 5). Результати аналізу подати у таблиці 1.1.</w:t>
      </w:r>
    </w:p>
    <w:p w:rsidR="00652684" w:rsidRPr="00652684" w:rsidRDefault="00652684" w:rsidP="00AF530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 xml:space="preserve">Таблиця 1.1.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9"/>
        <w:gridCol w:w="1524"/>
        <w:gridCol w:w="1524"/>
        <w:gridCol w:w="1524"/>
        <w:gridCol w:w="1524"/>
        <w:gridCol w:w="1524"/>
      </w:tblGrid>
      <w:tr w:rsidR="00652684" w:rsidRPr="00652684" w:rsidTr="00713218">
        <w:tc>
          <w:tcPr>
            <w:tcW w:w="1604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       Оцінка</w:t>
            </w:r>
          </w:p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Причини </w:t>
            </w: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1604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1604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1604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1604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 xml:space="preserve">Завдання 1.2. </w:t>
      </w: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 xml:space="preserve">Провести аналіз </w:t>
      </w:r>
      <w:r w:rsidRPr="00652684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умов </w:t>
      </w:r>
      <w:r w:rsidRPr="00652684">
        <w:rPr>
          <w:rFonts w:ascii="Times New Roman" w:hAnsi="Times New Roman" w:cs="Times New Roman"/>
          <w:sz w:val="28"/>
          <w:szCs w:val="28"/>
        </w:rPr>
        <w:t xml:space="preserve">виникнення та розвитку бухгалтерського обліку використовуючи 5-ти бальну шкалу оцінювання (з наростаючою вагою оцінки від 1 до 5). Результати аналізу подати у таблиці 1.2. </w:t>
      </w:r>
    </w:p>
    <w:p w:rsidR="00652684" w:rsidRPr="00652684" w:rsidRDefault="00652684" w:rsidP="00AF5301">
      <w:pPr>
        <w:spacing w:line="48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 xml:space="preserve">Таблиця 1.2.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652684" w:rsidRPr="00652684" w:rsidTr="00713218">
        <w:tc>
          <w:tcPr>
            <w:tcW w:w="1604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       Оцінка</w:t>
            </w:r>
            <w:r w:rsidR="00AF530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1604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1604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1604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1604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1604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684" w:rsidRPr="00652684" w:rsidRDefault="00652684" w:rsidP="00AF5301">
      <w:pPr>
        <w:pStyle w:val="a3"/>
        <w:spacing w:line="480" w:lineRule="auto"/>
        <w:ind w:left="0" w:firstLine="709"/>
        <w:contextualSpacing/>
        <w:jc w:val="left"/>
        <w:rPr>
          <w:szCs w:val="28"/>
        </w:rPr>
      </w:pPr>
    </w:p>
    <w:p w:rsidR="00652684" w:rsidRPr="00652684" w:rsidRDefault="00652684" w:rsidP="00AF5301">
      <w:pPr>
        <w:pStyle w:val="a3"/>
        <w:spacing w:line="480" w:lineRule="auto"/>
        <w:ind w:firstLine="709"/>
        <w:contextualSpacing/>
        <w:rPr>
          <w:szCs w:val="28"/>
        </w:rPr>
      </w:pPr>
    </w:p>
    <w:p w:rsidR="00652684" w:rsidRPr="00652684" w:rsidRDefault="00652684" w:rsidP="00AF5301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652684">
        <w:rPr>
          <w:rFonts w:ascii="Times New Roman" w:hAnsi="Times New Roman" w:cs="Times New Roman"/>
          <w:sz w:val="28"/>
          <w:szCs w:val="28"/>
        </w:rPr>
        <w:t>Облікова практика у Стародавньому світі</w:t>
      </w: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lastRenderedPageBreak/>
        <w:t xml:space="preserve">Завдання 2.1. Провести аналіз виникнення та розвитку облікової практики  у Стародавньому Єгипті та Вавилоні. </w:t>
      </w:r>
    </w:p>
    <w:p w:rsidR="00652684" w:rsidRPr="00652684" w:rsidRDefault="00652684" w:rsidP="00AF5301">
      <w:pPr>
        <w:spacing w:line="48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 xml:space="preserve">Таблиця 2.1.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409"/>
      </w:tblGrid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</w:p>
        </w:tc>
        <w:tc>
          <w:tcPr>
            <w:tcW w:w="2552" w:type="dxa"/>
          </w:tcPr>
          <w:p w:rsidR="00652684" w:rsidRPr="00652684" w:rsidRDefault="00652684" w:rsidP="00AF5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Стародавній Єгипет</w:t>
            </w:r>
          </w:p>
        </w:tc>
        <w:tc>
          <w:tcPr>
            <w:tcW w:w="2409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Вавилон</w:t>
            </w:r>
          </w:p>
        </w:tc>
      </w:tr>
      <w:tr w:rsidR="00652684" w:rsidRPr="00652684" w:rsidTr="00713218">
        <w:trPr>
          <w:trHeight w:val="659"/>
        </w:trPr>
        <w:tc>
          <w:tcPr>
            <w:tcW w:w="4106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Облікове законодавство</w:t>
            </w:r>
          </w:p>
        </w:tc>
        <w:tc>
          <w:tcPr>
            <w:tcW w:w="2552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Облікові прийоми </w:t>
            </w:r>
          </w:p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Одиниці виміру </w:t>
            </w:r>
          </w:p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Особи які займалися обліковою практикою </w:t>
            </w:r>
          </w:p>
        </w:tc>
        <w:tc>
          <w:tcPr>
            <w:tcW w:w="2552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Носії обліку</w:t>
            </w:r>
          </w:p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rPr>
          <w:trHeight w:val="713"/>
        </w:trPr>
        <w:tc>
          <w:tcPr>
            <w:tcW w:w="4106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Практика обліку</w:t>
            </w:r>
          </w:p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rPr>
          <w:trHeight w:val="70"/>
        </w:trPr>
        <w:tc>
          <w:tcPr>
            <w:tcW w:w="4106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Облікові  прилади</w:t>
            </w:r>
          </w:p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rPr>
          <w:trHeight w:val="70"/>
        </w:trPr>
        <w:tc>
          <w:tcPr>
            <w:tcW w:w="4106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Першість в обліковій практиці </w:t>
            </w:r>
          </w:p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>Завдання 2.2. Провести аналіз виникнення та розвитку облікової практики  у Стародавній Греції та Стародавньому Римі.</w:t>
      </w:r>
    </w:p>
    <w:p w:rsidR="00652684" w:rsidRPr="00652684" w:rsidRDefault="00652684" w:rsidP="00AF5301">
      <w:pPr>
        <w:spacing w:line="48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 xml:space="preserve">Таблиця 2.2.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2316"/>
        <w:gridCol w:w="2551"/>
      </w:tblGrid>
      <w:tr w:rsidR="00652684" w:rsidRPr="00652684" w:rsidTr="00713218">
        <w:tc>
          <w:tcPr>
            <w:tcW w:w="4390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</w:p>
        </w:tc>
        <w:tc>
          <w:tcPr>
            <w:tcW w:w="2126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Стародавня Греція </w:t>
            </w:r>
          </w:p>
        </w:tc>
        <w:tc>
          <w:tcPr>
            <w:tcW w:w="2551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Стародавній Рим</w:t>
            </w:r>
          </w:p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rPr>
          <w:trHeight w:val="659"/>
        </w:trPr>
        <w:tc>
          <w:tcPr>
            <w:tcW w:w="4390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Облікове законодавство</w:t>
            </w:r>
          </w:p>
        </w:tc>
        <w:tc>
          <w:tcPr>
            <w:tcW w:w="212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390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Облікові прийоми </w:t>
            </w:r>
          </w:p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390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Одиниці виміру </w:t>
            </w:r>
          </w:p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390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Особи які займалися обліковою практикою </w:t>
            </w:r>
          </w:p>
        </w:tc>
        <w:tc>
          <w:tcPr>
            <w:tcW w:w="212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390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Носії обліку</w:t>
            </w:r>
          </w:p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rPr>
          <w:trHeight w:val="713"/>
        </w:trPr>
        <w:tc>
          <w:tcPr>
            <w:tcW w:w="4390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Практика обліку</w:t>
            </w:r>
          </w:p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rPr>
          <w:trHeight w:val="70"/>
        </w:trPr>
        <w:tc>
          <w:tcPr>
            <w:tcW w:w="4390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Облікові  прилади</w:t>
            </w:r>
          </w:p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rPr>
          <w:trHeight w:val="70"/>
        </w:trPr>
        <w:tc>
          <w:tcPr>
            <w:tcW w:w="4390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Першість в обліковій практиці </w:t>
            </w:r>
          </w:p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>Тема 3. Облікова практика в Українському Причорномор’ї в добу Античності.</w:t>
      </w: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 xml:space="preserve">Задання 3.1. Провести порівняльний аналіз умов виникнення та розвитку бухгалтерського обліку в Українському Причорномор’ї з аналогічним періодом у Стародавній Греції використовуючи таблицю 3.1. </w:t>
      </w:r>
    </w:p>
    <w:p w:rsidR="00652684" w:rsidRPr="00652684" w:rsidRDefault="00652684" w:rsidP="00AF5301">
      <w:pPr>
        <w:spacing w:line="48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>Таблиця 3.1.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409"/>
      </w:tblGrid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</w:p>
        </w:tc>
        <w:tc>
          <w:tcPr>
            <w:tcW w:w="2552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Українське Причорномор’я</w:t>
            </w:r>
          </w:p>
        </w:tc>
        <w:tc>
          <w:tcPr>
            <w:tcW w:w="2409" w:type="dxa"/>
          </w:tcPr>
          <w:p w:rsidR="00652684" w:rsidRPr="00652684" w:rsidRDefault="00652684" w:rsidP="00AF5301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Стародавня Греція</w:t>
            </w:r>
          </w:p>
        </w:tc>
      </w:tr>
      <w:tr w:rsidR="00652684" w:rsidRPr="00652684" w:rsidTr="00713218">
        <w:trPr>
          <w:trHeight w:val="659"/>
        </w:trPr>
        <w:tc>
          <w:tcPr>
            <w:tcW w:w="410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Облікове законодавство</w:t>
            </w:r>
          </w:p>
        </w:tc>
        <w:tc>
          <w:tcPr>
            <w:tcW w:w="2552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Облікові прийоми </w:t>
            </w:r>
          </w:p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Одиниці виміру </w:t>
            </w:r>
          </w:p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Особи які займалися обліковою практикою </w:t>
            </w:r>
          </w:p>
        </w:tc>
        <w:tc>
          <w:tcPr>
            <w:tcW w:w="2552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Носії обліку</w:t>
            </w:r>
          </w:p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rPr>
          <w:trHeight w:val="70"/>
        </w:trPr>
        <w:tc>
          <w:tcPr>
            <w:tcW w:w="410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Товарно-грошові операції </w:t>
            </w:r>
          </w:p>
        </w:tc>
        <w:tc>
          <w:tcPr>
            <w:tcW w:w="2552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 xml:space="preserve">Задання 3.2. Провести порівняльний аналіз умов виникнення та розвитку бухгалтерського обліку в Українському Причорномор’ї з аналогічним періодом у Стародавньому Римі використовуючи таблицю 3.2. </w:t>
      </w:r>
    </w:p>
    <w:p w:rsidR="00652684" w:rsidRPr="00652684" w:rsidRDefault="00652684" w:rsidP="00AF5301">
      <w:pPr>
        <w:spacing w:line="48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 xml:space="preserve">Таблиця 3.2.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415"/>
      </w:tblGrid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</w:p>
        </w:tc>
        <w:tc>
          <w:tcPr>
            <w:tcW w:w="2552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Українське Причорномор’я</w:t>
            </w:r>
          </w:p>
        </w:tc>
        <w:tc>
          <w:tcPr>
            <w:tcW w:w="240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Стародавній Рим</w:t>
            </w:r>
          </w:p>
        </w:tc>
      </w:tr>
      <w:tr w:rsidR="00652684" w:rsidRPr="00652684" w:rsidTr="00713218">
        <w:trPr>
          <w:trHeight w:val="659"/>
        </w:trPr>
        <w:tc>
          <w:tcPr>
            <w:tcW w:w="410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Облікове законодавство</w:t>
            </w:r>
          </w:p>
        </w:tc>
        <w:tc>
          <w:tcPr>
            <w:tcW w:w="2552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Облікові прийоми </w:t>
            </w:r>
          </w:p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Одиниці виміру </w:t>
            </w:r>
          </w:p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Особи які займалися</w:t>
            </w:r>
            <w:r w:rsidR="00AF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обліковою практикою </w:t>
            </w:r>
          </w:p>
        </w:tc>
        <w:tc>
          <w:tcPr>
            <w:tcW w:w="2552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10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Носії обліку</w:t>
            </w:r>
          </w:p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713218">
        <w:trPr>
          <w:trHeight w:val="70"/>
        </w:trPr>
        <w:tc>
          <w:tcPr>
            <w:tcW w:w="410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Товарно-грошові операції</w:t>
            </w:r>
          </w:p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301" w:rsidRDefault="00AF5301" w:rsidP="00AF5301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5301" w:rsidRDefault="00652684" w:rsidP="00AF5301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>Задання 3.3. Провести аналіз стандартизації господарських відносин у Київській Русі за даними Руської Правди і нинішнім законодавством використовуючи таблицю 3.3. Зробити висновки.</w:t>
      </w:r>
    </w:p>
    <w:p w:rsidR="00652684" w:rsidRPr="00652684" w:rsidRDefault="00652684" w:rsidP="00AF5301">
      <w:pPr>
        <w:spacing w:line="48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>Таблиця 3.3.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3518"/>
        <w:gridCol w:w="1067"/>
        <w:gridCol w:w="2829"/>
      </w:tblGrid>
      <w:tr w:rsidR="00652684" w:rsidRPr="00652684" w:rsidTr="00713218">
        <w:trPr>
          <w:trHeight w:val="1238"/>
        </w:trPr>
        <w:tc>
          <w:tcPr>
            <w:tcW w:w="1936" w:type="dxa"/>
          </w:tcPr>
          <w:p w:rsidR="00652684" w:rsidRPr="00652684" w:rsidRDefault="00652684" w:rsidP="00AF530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3518" w:type="dxa"/>
          </w:tcPr>
          <w:p w:rsidR="00652684" w:rsidRPr="00652684" w:rsidRDefault="00652684" w:rsidP="00AF5301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Зміст відносин</w:t>
            </w:r>
          </w:p>
        </w:tc>
        <w:tc>
          <w:tcPr>
            <w:tcW w:w="1067" w:type="dxa"/>
          </w:tcPr>
          <w:p w:rsidR="00652684" w:rsidRPr="00652684" w:rsidRDefault="00652684" w:rsidP="00AF530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 xml:space="preserve">Сума </w:t>
            </w:r>
          </w:p>
        </w:tc>
        <w:tc>
          <w:tcPr>
            <w:tcW w:w="2829" w:type="dxa"/>
          </w:tcPr>
          <w:p w:rsidR="00652684" w:rsidRPr="00652684" w:rsidRDefault="00652684" w:rsidP="00AF530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684">
              <w:rPr>
                <w:rFonts w:ascii="Times New Roman" w:hAnsi="Times New Roman" w:cs="Times New Roman"/>
                <w:sz w:val="28"/>
                <w:szCs w:val="28"/>
              </w:rPr>
              <w:t>Нормативно-правовий акт, що регулює ці відносини сьогодні</w:t>
            </w:r>
          </w:p>
        </w:tc>
      </w:tr>
      <w:tr w:rsidR="00652684" w:rsidRPr="00652684" w:rsidTr="00652684">
        <w:trPr>
          <w:cantSplit/>
          <w:trHeight w:val="1286"/>
        </w:trPr>
        <w:tc>
          <w:tcPr>
            <w:tcW w:w="193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652684">
        <w:trPr>
          <w:cantSplit/>
          <w:trHeight w:val="1418"/>
        </w:trPr>
        <w:tc>
          <w:tcPr>
            <w:tcW w:w="1936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0"/>
              </w:rPr>
            </w:pPr>
          </w:p>
        </w:tc>
        <w:tc>
          <w:tcPr>
            <w:tcW w:w="1067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652684">
        <w:trPr>
          <w:cantSplit/>
          <w:trHeight w:val="1679"/>
        </w:trPr>
        <w:tc>
          <w:tcPr>
            <w:tcW w:w="1936" w:type="dxa"/>
            <w:shd w:val="clear" w:color="auto" w:fill="auto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4" w:rsidRPr="00652684" w:rsidTr="00652684">
        <w:trPr>
          <w:cantSplit/>
          <w:trHeight w:val="1420"/>
        </w:trPr>
        <w:tc>
          <w:tcPr>
            <w:tcW w:w="1936" w:type="dxa"/>
            <w:tcBorders>
              <w:bottom w:val="single" w:sz="4" w:space="0" w:color="auto"/>
            </w:tcBorders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0"/>
              </w:rPr>
            </w:pPr>
          </w:p>
        </w:tc>
        <w:tc>
          <w:tcPr>
            <w:tcW w:w="3518" w:type="dxa"/>
            <w:tcBorders>
              <w:bottom w:val="single" w:sz="4" w:space="0" w:color="auto"/>
            </w:tcBorders>
            <w:shd w:val="clear" w:color="auto" w:fill="auto"/>
          </w:tcPr>
          <w:p w:rsidR="00652684" w:rsidRPr="00652684" w:rsidRDefault="00652684" w:rsidP="00AF5301">
            <w:pPr>
              <w:pStyle w:val="k1"/>
              <w:spacing w:before="0" w:beforeAutospacing="0" w:after="0" w:afterAutospacing="0" w:line="480" w:lineRule="auto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52684" w:rsidRPr="00652684" w:rsidRDefault="00652684" w:rsidP="00AF5301">
            <w:pPr>
              <w:spacing w:line="48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Висновки:</w:t>
      </w:r>
    </w:p>
    <w:p w:rsid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F5301" w:rsidRDefault="00AF5301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F5301" w:rsidRDefault="00652684" w:rsidP="00AF5301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lastRenderedPageBreak/>
        <w:t>Задання 3.4. Провести аналіз таксування цін на домашніх тварин у Київській Русі за даними Руської Правди і нинішніми закупівельними цінами використовуючи таблицю 3.4. Зробити висновки.</w:t>
      </w:r>
    </w:p>
    <w:p w:rsidR="00652684" w:rsidRPr="00652684" w:rsidRDefault="00652684" w:rsidP="00AF5301">
      <w:pPr>
        <w:spacing w:line="48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2684">
        <w:rPr>
          <w:rFonts w:ascii="Times New Roman" w:hAnsi="Times New Roman" w:cs="Times New Roman"/>
          <w:sz w:val="28"/>
          <w:szCs w:val="28"/>
        </w:rPr>
        <w:t>Таблиця 3.4.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652684" w:rsidRPr="00652684" w:rsidTr="00713218">
        <w:tc>
          <w:tcPr>
            <w:tcW w:w="3209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52684">
              <w:rPr>
                <w:sz w:val="28"/>
                <w:szCs w:val="28"/>
              </w:rPr>
              <w:t>Домашні тварини</w:t>
            </w: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52684">
              <w:rPr>
                <w:sz w:val="28"/>
                <w:szCs w:val="28"/>
              </w:rPr>
              <w:t>Ціни за даними Руської Правди</w:t>
            </w: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52684">
              <w:rPr>
                <w:sz w:val="28"/>
                <w:szCs w:val="28"/>
              </w:rPr>
              <w:t>Ціни за 2018 рік</w:t>
            </w:r>
          </w:p>
        </w:tc>
      </w:tr>
      <w:tr w:rsidR="00652684" w:rsidRPr="00652684" w:rsidTr="00713218">
        <w:tc>
          <w:tcPr>
            <w:tcW w:w="3209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3209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3209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3209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3209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3209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3209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3209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3209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</w:tbl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Висновки:</w:t>
      </w:r>
    </w:p>
    <w:p w:rsidR="00652684" w:rsidRDefault="00652684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AF5301" w:rsidRDefault="00AF5301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AF5301" w:rsidRDefault="00AF5301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color w:val="000000"/>
          <w:szCs w:val="28"/>
        </w:rPr>
      </w:pPr>
    </w:p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color w:val="000000"/>
          <w:szCs w:val="28"/>
        </w:rPr>
      </w:pPr>
    </w:p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color w:val="000000"/>
          <w:szCs w:val="28"/>
        </w:rPr>
      </w:pPr>
    </w:p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color w:val="000000"/>
          <w:szCs w:val="28"/>
        </w:rPr>
      </w:pPr>
    </w:p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color w:val="000000"/>
          <w:szCs w:val="28"/>
        </w:rPr>
      </w:pPr>
    </w:p>
    <w:p w:rsidR="00652684" w:rsidRPr="00652684" w:rsidRDefault="00652684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color w:val="000000"/>
          <w:szCs w:val="28"/>
        </w:rPr>
      </w:pPr>
      <w:r w:rsidRPr="00652684">
        <w:rPr>
          <w:b w:val="0"/>
          <w:color w:val="000000"/>
          <w:szCs w:val="28"/>
        </w:rPr>
        <w:lastRenderedPageBreak/>
        <w:t>Тема 4. Формування</w:t>
      </w:r>
      <w:r w:rsidRPr="00652684">
        <w:rPr>
          <w:b w:val="0"/>
          <w:szCs w:val="28"/>
        </w:rPr>
        <w:t xml:space="preserve"> та розвиток обліку на західно-українських землях </w:t>
      </w:r>
    </w:p>
    <w:p w:rsidR="00652684" w:rsidRPr="00652684" w:rsidRDefault="00652684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  <w:r w:rsidRPr="00652684">
        <w:rPr>
          <w:b w:val="0"/>
          <w:szCs w:val="28"/>
        </w:rPr>
        <w:t>Задання 4.1. Провести порівняльний аналіз змісту статуту цеху кушнірів із типовим сьогоднішнім статутом в Україні. Результати аналізу подати у таблиці</w:t>
      </w:r>
      <w:r>
        <w:rPr>
          <w:b w:val="0"/>
          <w:szCs w:val="28"/>
        </w:rPr>
        <w:t xml:space="preserve"> 4.1</w:t>
      </w:r>
      <w:r w:rsidRPr="00652684">
        <w:rPr>
          <w:b w:val="0"/>
          <w:szCs w:val="28"/>
        </w:rPr>
        <w:t>. Зробити висновки.</w:t>
      </w:r>
    </w:p>
    <w:p w:rsidR="00652684" w:rsidRPr="00652684" w:rsidRDefault="00652684" w:rsidP="00AF5301">
      <w:pPr>
        <w:pStyle w:val="a3"/>
        <w:spacing w:line="480" w:lineRule="auto"/>
        <w:ind w:left="0" w:firstLine="709"/>
        <w:contextualSpacing/>
        <w:jc w:val="right"/>
        <w:rPr>
          <w:b w:val="0"/>
          <w:szCs w:val="28"/>
        </w:rPr>
      </w:pPr>
      <w:r w:rsidRPr="00652684">
        <w:rPr>
          <w:b w:val="0"/>
          <w:szCs w:val="28"/>
        </w:rPr>
        <w:t xml:space="preserve">Таблиця 4.1.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ind w:left="0"/>
              <w:contextualSpacing/>
              <w:jc w:val="both"/>
              <w:rPr>
                <w:b w:val="0"/>
                <w:szCs w:val="28"/>
              </w:rPr>
            </w:pPr>
            <w:r w:rsidRPr="00652684">
              <w:rPr>
                <w:b w:val="0"/>
                <w:szCs w:val="28"/>
              </w:rPr>
              <w:t xml:space="preserve">Статті статуту кушнірського цеху </w:t>
            </w: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ind w:left="0"/>
              <w:contextualSpacing/>
              <w:jc w:val="both"/>
              <w:rPr>
                <w:b w:val="0"/>
                <w:szCs w:val="28"/>
              </w:rPr>
            </w:pPr>
            <w:r w:rsidRPr="00652684">
              <w:rPr>
                <w:b w:val="0"/>
                <w:szCs w:val="28"/>
              </w:rPr>
              <w:t xml:space="preserve">Статті статуту сучасного підприємства </w:t>
            </w: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</w:tr>
    </w:tbl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Висновки:</w:t>
      </w:r>
    </w:p>
    <w:p w:rsidR="00652684" w:rsidRDefault="00652684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</w:p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</w:p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</w:p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</w:p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</w:p>
    <w:p w:rsidR="00AF5301" w:rsidRPr="00652684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</w:p>
    <w:p w:rsidR="00652684" w:rsidRPr="00652684" w:rsidRDefault="00652684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  <w:r w:rsidRPr="00652684">
        <w:rPr>
          <w:b w:val="0"/>
          <w:szCs w:val="28"/>
        </w:rPr>
        <w:t>Задання 4.2. Провести порівняльний аналіз змісту облікових книг львівських купців Шульца і Боїма з книгою Матвія Гайдера. Результати аналізу подати у таблиці</w:t>
      </w:r>
      <w:r>
        <w:rPr>
          <w:b w:val="0"/>
          <w:szCs w:val="28"/>
        </w:rPr>
        <w:t xml:space="preserve"> 4.</w:t>
      </w:r>
      <w:r w:rsidR="00AF5301">
        <w:rPr>
          <w:b w:val="0"/>
          <w:szCs w:val="28"/>
        </w:rPr>
        <w:t>2</w:t>
      </w:r>
      <w:r w:rsidRPr="00652684">
        <w:rPr>
          <w:b w:val="0"/>
          <w:szCs w:val="28"/>
        </w:rPr>
        <w:t>. Зробити висновки.</w:t>
      </w:r>
    </w:p>
    <w:p w:rsidR="00652684" w:rsidRPr="00652684" w:rsidRDefault="00652684" w:rsidP="00AF5301">
      <w:pPr>
        <w:pStyle w:val="a3"/>
        <w:spacing w:line="480" w:lineRule="auto"/>
        <w:ind w:left="0" w:firstLine="709"/>
        <w:contextualSpacing/>
        <w:jc w:val="right"/>
        <w:rPr>
          <w:b w:val="0"/>
          <w:szCs w:val="28"/>
        </w:rPr>
      </w:pPr>
      <w:r w:rsidRPr="00652684">
        <w:rPr>
          <w:b w:val="0"/>
          <w:szCs w:val="28"/>
        </w:rPr>
        <w:lastRenderedPageBreak/>
        <w:t>Таблиця 4.</w:t>
      </w:r>
      <w:r>
        <w:rPr>
          <w:b w:val="0"/>
          <w:szCs w:val="28"/>
        </w:rPr>
        <w:t>2</w:t>
      </w:r>
      <w:r w:rsidRPr="00652684">
        <w:rPr>
          <w:b w:val="0"/>
          <w:szCs w:val="28"/>
        </w:rPr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  <w:r w:rsidRPr="00652684">
              <w:rPr>
                <w:b w:val="0"/>
                <w:szCs w:val="28"/>
              </w:rPr>
              <w:t>Облікова  книга Шульца і Боїма</w:t>
            </w: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  <w:r w:rsidRPr="00652684">
              <w:rPr>
                <w:b w:val="0"/>
                <w:szCs w:val="28"/>
              </w:rPr>
              <w:t>Облікова  книга Матвія Гайдера</w:t>
            </w: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3"/>
              <w:spacing w:line="480" w:lineRule="auto"/>
              <w:ind w:left="0" w:firstLine="709"/>
              <w:contextualSpacing/>
              <w:jc w:val="both"/>
              <w:rPr>
                <w:b w:val="0"/>
                <w:szCs w:val="28"/>
              </w:rPr>
            </w:pPr>
          </w:p>
        </w:tc>
      </w:tr>
    </w:tbl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Висновки:</w:t>
      </w:r>
    </w:p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</w:p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</w:p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</w:p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</w:p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</w:p>
    <w:p w:rsidR="00AF5301" w:rsidRPr="00652684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</w:p>
    <w:p w:rsidR="00652684" w:rsidRDefault="00652684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  <w:r w:rsidRPr="00652684">
        <w:rPr>
          <w:b w:val="0"/>
          <w:szCs w:val="28"/>
        </w:rPr>
        <w:t>Задання 4.3.</w:t>
      </w:r>
      <w:r w:rsidRPr="00652684">
        <w:rPr>
          <w:szCs w:val="28"/>
        </w:rPr>
        <w:t xml:space="preserve"> </w:t>
      </w:r>
      <w:r w:rsidRPr="00652684">
        <w:rPr>
          <w:b w:val="0"/>
          <w:szCs w:val="28"/>
        </w:rPr>
        <w:t>Провести порівняльний аналіз змісту облікових книг львівських купців з нормами законодавства, що регламентують аналогічні питання бухгалтерського обліку сьогодні в Україні. Результати аналізу подати у таблиці</w:t>
      </w:r>
      <w:r w:rsidR="00AF5301">
        <w:rPr>
          <w:b w:val="0"/>
          <w:szCs w:val="28"/>
        </w:rPr>
        <w:t xml:space="preserve"> 4.3</w:t>
      </w:r>
      <w:r w:rsidRPr="00652684">
        <w:rPr>
          <w:b w:val="0"/>
          <w:szCs w:val="28"/>
        </w:rPr>
        <w:t>. Зробити висновки.</w:t>
      </w:r>
    </w:p>
    <w:p w:rsidR="00652684" w:rsidRPr="00652684" w:rsidRDefault="00652684" w:rsidP="00AF5301">
      <w:pPr>
        <w:pStyle w:val="a3"/>
        <w:spacing w:line="480" w:lineRule="auto"/>
        <w:ind w:left="0" w:firstLine="709"/>
        <w:contextualSpacing/>
        <w:jc w:val="right"/>
        <w:rPr>
          <w:b w:val="0"/>
          <w:szCs w:val="28"/>
        </w:rPr>
      </w:pPr>
      <w:r w:rsidRPr="00652684">
        <w:rPr>
          <w:b w:val="0"/>
          <w:szCs w:val="28"/>
        </w:rPr>
        <w:t>Таблиця 4.</w:t>
      </w:r>
      <w:r>
        <w:rPr>
          <w:b w:val="0"/>
          <w:szCs w:val="28"/>
        </w:rPr>
        <w:t>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652684">
              <w:rPr>
                <w:sz w:val="28"/>
                <w:szCs w:val="28"/>
              </w:rPr>
              <w:t>Зміст облікових книг львівських купці</w:t>
            </w: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652684">
              <w:rPr>
                <w:sz w:val="28"/>
                <w:szCs w:val="28"/>
              </w:rPr>
              <w:t>Норми законодавства, що регламентують аналогічні питання бухгалтерського обліку сьогодні в Україні</w:t>
            </w: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52684" w:rsidRPr="00652684" w:rsidTr="00713218">
        <w:tc>
          <w:tcPr>
            <w:tcW w:w="4814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652684" w:rsidRPr="00652684" w:rsidRDefault="00652684" w:rsidP="00AF5301">
            <w:pPr>
              <w:pStyle w:val="a6"/>
              <w:tabs>
                <w:tab w:val="clear" w:pos="4677"/>
                <w:tab w:val="clear" w:pos="9355"/>
              </w:tabs>
              <w:spacing w:line="48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F5301" w:rsidRDefault="00AF5301" w:rsidP="00AF5301">
      <w:pPr>
        <w:pStyle w:val="a3"/>
        <w:spacing w:line="480" w:lineRule="auto"/>
        <w:ind w:left="0"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Висновки:</w:t>
      </w:r>
    </w:p>
    <w:p w:rsidR="00652684" w:rsidRDefault="00652684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P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Підготував доц</w:t>
      </w:r>
      <w:r w:rsidRPr="002A3532">
        <w:rPr>
          <w:sz w:val="28"/>
          <w:szCs w:val="28"/>
        </w:rPr>
        <w:t>.</w:t>
      </w:r>
      <w:r>
        <w:rPr>
          <w:sz w:val="28"/>
          <w:szCs w:val="28"/>
        </w:rPr>
        <w:t>кафедри обліку і аудиту Гамкало О</w:t>
      </w:r>
      <w:r>
        <w:rPr>
          <w:sz w:val="28"/>
          <w:szCs w:val="28"/>
          <w:lang w:val="en-US"/>
        </w:rPr>
        <w:t>.</w:t>
      </w:r>
      <w:bookmarkStart w:id="0" w:name="_GoBack"/>
      <w:bookmarkEnd w:id="0"/>
      <w:r>
        <w:rPr>
          <w:sz w:val="28"/>
          <w:szCs w:val="28"/>
        </w:rPr>
        <w:t>Б</w:t>
      </w:r>
      <w:r w:rsidRPr="002A3532">
        <w:rPr>
          <w:sz w:val="28"/>
          <w:szCs w:val="28"/>
        </w:rPr>
        <w:t>.</w:t>
      </w: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2A3532" w:rsidRPr="00652684" w:rsidRDefault="002A3532" w:rsidP="00AF5301">
      <w:pPr>
        <w:pStyle w:val="a6"/>
        <w:tabs>
          <w:tab w:val="clear" w:pos="4677"/>
          <w:tab w:val="clear" w:pos="9355"/>
        </w:tabs>
        <w:spacing w:line="480" w:lineRule="auto"/>
        <w:ind w:firstLine="709"/>
        <w:contextualSpacing/>
        <w:rPr>
          <w:sz w:val="28"/>
          <w:szCs w:val="28"/>
        </w:rPr>
      </w:pP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52684" w:rsidRPr="00652684" w:rsidRDefault="00652684" w:rsidP="00AF5301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652684" w:rsidRPr="006526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EC5"/>
    <w:rsid w:val="002A2FB2"/>
    <w:rsid w:val="002A3532"/>
    <w:rsid w:val="00652684"/>
    <w:rsid w:val="00AF5301"/>
    <w:rsid w:val="00CC2EC5"/>
    <w:rsid w:val="00F9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9D1B"/>
  <w15:chartTrackingRefBased/>
  <w15:docId w15:val="{BA21DD58-2BA6-45E9-897F-B7329569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EC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 Знак"/>
    <w:basedOn w:val="a0"/>
    <w:link w:val="a3"/>
    <w:rsid w:val="00CC2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"/>
    <w:basedOn w:val="a"/>
    <w:rsid w:val="00CC2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5">
    <w:name w:val="Table Grid"/>
    <w:basedOn w:val="a1"/>
    <w:uiPriority w:val="39"/>
    <w:rsid w:val="00CC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526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ій колонтитул Знак"/>
    <w:basedOn w:val="a0"/>
    <w:link w:val="a6"/>
    <w:rsid w:val="00652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1">
    <w:name w:val="k1"/>
    <w:basedOn w:val="a"/>
    <w:rsid w:val="0065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8">
    <w:name w:val="Знак Знак Знак Знак Знак Знак"/>
    <w:basedOn w:val="a"/>
    <w:rsid w:val="0065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D4D0B-9F09-4351-9D97-EC2E8DE1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2801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Oleh Yulian</cp:lastModifiedBy>
  <cp:revision>3</cp:revision>
  <dcterms:created xsi:type="dcterms:W3CDTF">2019-11-10T16:34:00Z</dcterms:created>
  <dcterms:modified xsi:type="dcterms:W3CDTF">2021-11-23T19:18:00Z</dcterms:modified>
</cp:coreProperties>
</file>