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F04DC8" w:rsidRPr="00F04DC8">
        <w:rPr>
          <w:rFonts w:ascii="Times New Roman" w:hAnsi="Times New Roman"/>
          <w:b/>
          <w:sz w:val="32"/>
          <w:szCs w:val="32"/>
        </w:rPr>
        <w:t>Технології менеджменту знань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другого (магістерського)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CF678C" w:rsidRPr="00CF678C">
        <w:rPr>
          <w:rFonts w:ascii="Times New Roman" w:eastAsia="Times New Roman" w:hAnsi="Times New Roman"/>
          <w:b/>
          <w:color w:val="000000"/>
          <w:sz w:val="32"/>
          <w:szCs w:val="32"/>
        </w:rPr>
        <w:t>122 «Комп’ютерні науки»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642275">
        <w:rPr>
          <w:rFonts w:ascii="Times New Roman" w:eastAsia="Times New Roman" w:hAnsi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F678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78C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12 «Інформаційні технології» </w:t>
            </w:r>
          </w:p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>спеціальності 122 «Комп’ютерні науки»</w:t>
            </w:r>
          </w:p>
          <w:p w:rsidR="00B22568" w:rsidRPr="006B694C" w:rsidRDefault="00CF678C" w:rsidP="00CF67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78C">
              <w:rPr>
                <w:rFonts w:ascii="Times New Roman" w:hAnsi="Times New Roman"/>
              </w:rPr>
              <w:t xml:space="preserve">спеціалізації </w:t>
            </w:r>
            <w:r>
              <w:rPr>
                <w:rFonts w:ascii="Times New Roman" w:hAnsi="Times New Roman"/>
              </w:rPr>
              <w:t xml:space="preserve">122.1 </w:t>
            </w:r>
            <w:r w:rsidRPr="00CF678C">
              <w:rPr>
                <w:rFonts w:ascii="Times New Roman" w:hAnsi="Times New Roman"/>
              </w:rPr>
              <w:t>«Консолідована інформація»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AB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A5E86" w:rsidRPr="00CA5E86">
              <w:rPr>
                <w:rFonts w:ascii="Times New Roman" w:hAnsi="Times New Roman"/>
                <w:sz w:val="24"/>
              </w:rPr>
              <w:t xml:space="preserve">в галузі розроблення інформаційних систем, що ґрунтуються на знаннях; ознайомлення з технологією створення інформаційних систем з використанням </w:t>
            </w:r>
            <w:r w:rsidR="00820655">
              <w:rPr>
                <w:rFonts w:ascii="Times New Roman" w:hAnsi="Times New Roman"/>
                <w:sz w:val="24"/>
              </w:rPr>
              <w:t>CASE-інструментарію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BB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A40E9" w:rsidRPr="00CF678C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>нормативною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6503" w:rsidRPr="00CF678C">
              <w:rPr>
                <w:rFonts w:ascii="Times New Roman" w:hAnsi="Times New Roman"/>
              </w:rPr>
              <w:t>122 «Комп’ютерні науки»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>підготовки магістрів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CA5E86" w:rsidRPr="00CF678C">
              <w:rPr>
                <w:rFonts w:ascii="Times New Roman" w:eastAsia="Times New Roman" w:hAnsi="Times New Roman"/>
                <w:sz w:val="24"/>
                <w:szCs w:val="24"/>
              </w:rPr>
              <w:t>Технології менеджменту знань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971F64" w:rsidRPr="00971F64">
              <w:rPr>
                <w:rFonts w:ascii="Times New Roman" w:hAnsi="Times New Roman"/>
                <w:sz w:val="24"/>
              </w:rPr>
              <w:t>ознайомлення студентів з основами набуття, подання, класифікації та компіляції знань. Дисципліна дає ґрунтовні теоретичні знання i практичні навики створення моделей організаційної системи з вико</w:t>
            </w:r>
            <w:r w:rsidR="00820655">
              <w:rPr>
                <w:rFonts w:ascii="Times New Roman" w:hAnsi="Times New Roman"/>
                <w:sz w:val="24"/>
              </w:rPr>
              <w:t>ристанням баз даних i баз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О. Основи економічних експертних систем: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/ О.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Львів: Видавничий центр ЛНУ імені Івана Франка, 2009. – 238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64">
              <w:rPr>
                <w:rFonts w:ascii="Times New Roman" w:hAnsi="Times New Roman"/>
                <w:sz w:val="24"/>
                <w:szCs w:val="24"/>
              </w:rPr>
              <w:t xml:space="preserve">Кравець Р. Б. Інформаційні технології організації бізнесу: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посібник / Р. Б. Кравець, Ю. О. Сєров, О. В.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Марковець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Львів: Видавництво Львівської політехніки, 2013. – 228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64">
              <w:rPr>
                <w:rFonts w:ascii="Times New Roman" w:hAnsi="Times New Roman"/>
                <w:sz w:val="24"/>
                <w:szCs w:val="24"/>
              </w:rPr>
              <w:t xml:space="preserve">Литвин В. В. Технології менеджменту знань: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посібник / В. В. Литвин; за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В.В.Пасічника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2-ге вид. – Львів: Видавництво Львівської політехніки, 2013. – 260 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64">
              <w:rPr>
                <w:rFonts w:ascii="Times New Roman" w:hAnsi="Times New Roman"/>
                <w:sz w:val="24"/>
                <w:szCs w:val="24"/>
              </w:rPr>
              <w:t>Баклан І. В. Експертні системи. Курс лекцій / І. В. Баклан. – Київ: НАУ, 2012. – 132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Ивахненко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А. Г.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Индуктивный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самоорганизации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моделей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систем / А. Г.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Ивахненко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: Наук. думка, 1981. – 296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С.М. Інноваційний розвиток: маркетинг і менеджмент знань: монографія / С.М.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Суми: ТОВ «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Діса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плюс», 2016. –192 с.</w:t>
            </w:r>
          </w:p>
          <w:p w:rsidR="00971F64" w:rsidRPr="00971F64" w:rsidRDefault="00971F64" w:rsidP="00971F64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Сявавко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 М. Моделювання за умов невизначеності / М.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Сявавко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 w:rsidRPr="00971F64">
              <w:rPr>
                <w:rFonts w:ascii="Times New Roman" w:hAnsi="Times New Roman"/>
                <w:sz w:val="24"/>
                <w:szCs w:val="24"/>
              </w:rPr>
              <w:t>Рибицька</w:t>
            </w:r>
            <w:proofErr w:type="spellEnd"/>
            <w:r w:rsidRPr="00971F64">
              <w:rPr>
                <w:rFonts w:ascii="Times New Roman" w:hAnsi="Times New Roman"/>
                <w:sz w:val="24"/>
                <w:szCs w:val="24"/>
              </w:rPr>
              <w:t>. – Львів, Українські технології, 2000. – 319 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Інформаційні ресурси</w:t>
            </w:r>
          </w:p>
          <w:p w:rsidR="00971F64" w:rsidRPr="00971F64" w:rsidRDefault="00971F64" w:rsidP="00971F6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71F64">
              <w:rPr>
                <w:rFonts w:ascii="Times New Roman" w:hAnsi="Times New Roman"/>
                <w:color w:val="000000"/>
                <w:sz w:val="24"/>
              </w:rPr>
              <w:t>https://basegroup.ru/deductor/</w:t>
            </w:r>
          </w:p>
          <w:p w:rsidR="00B22568" w:rsidRPr="00AB1056" w:rsidRDefault="00971F64" w:rsidP="00D76FDF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71F64">
              <w:rPr>
                <w:rFonts w:ascii="Times New Roman" w:hAnsi="Times New Roman"/>
                <w:sz w:val="24"/>
                <w:szCs w:val="24"/>
                <w:lang w:eastAsia="uk-UA"/>
              </w:rPr>
              <w:t>https://protege.stanford.edu</w:t>
            </w:r>
            <w:r w:rsidR="00EE648F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D7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00A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B22568" w:rsidRPr="009B21A1" w:rsidRDefault="009B21A1" w:rsidP="007D04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D0443" w:rsidRPr="007D0443">
              <w:rPr>
                <w:rFonts w:ascii="Times New Roman" w:hAnsi="Times New Roman"/>
                <w:sz w:val="24"/>
                <w:szCs w:val="24"/>
              </w:rPr>
              <w:t>методи набуття знань, методи подання знань, методи класифікації і компіляції знань; розуміти філософські засади науки, застосовувати методологію наукових досліджень галузі комп’ютерних наук для дослідження організаційних структур і процесів в економіці та підприємництві; стандарт онтологічного дослідження, метод детермінантного аналізу; техніку діаграм прецедентів, діаграм класів, діаграм об’єктів, діаграм послідовностей, діаграм кооперації, діаграм видів діяльності, діаграм взаємодії, у тому числі з використанням CASE-інструментарію; методологію об’єктно-орієнтованого аналізу і проектування, а також інструментальні CASE-засоби підтримки життєвого циклу програмного забезпечення</w:t>
            </w:r>
          </w:p>
          <w:p w:rsidR="00B22568" w:rsidRPr="006A6169" w:rsidRDefault="009B21A1" w:rsidP="0098069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D0443" w:rsidRPr="007D0443">
              <w:rPr>
                <w:rFonts w:ascii="Times New Roman" w:hAnsi="Times New Roman"/>
                <w:sz w:val="24"/>
                <w:szCs w:val="24"/>
              </w:rPr>
              <w:t xml:space="preserve">працювати з експертними та текстологічними джерелами інформації для інтеграції даних і знань в області діяльності організації; застосовувати технології менеджменту знань в інформаційно-аналітичній діяльності, зокрема для аналізу і прогнозування розвитку процесів в економіці і підприємництві; інтерпретувати результати застосування методів інтелектуального аналізу даних для ідентифікації тенденцій розвитку процесів в організації та в економіці і підприємництві загалом; ідентифікувати вимоги до організаційної системи з боку зовнішнього оточення, визначаючи запит до системи, тобто її зовнішню детермінанту, і образ системи, що задовольняє цим вимогам; будувати зовнішні (контекстні) моделі (прецедент-моделі) організаційної системи, визначаючи межі системи (бізнесу), суб'єктів бізнесу, прецеденти бізнесу; будувати внутрішні моделі (об'єктні моделі) організаційної системи, визначаючи об'єкти і відношення між ними, поведінку об'єктів, взаємодії об'єктів у прецеденті; будувати самостійно чи у складі групи фахівців зовнішні (контекстні) і внутрішні (об’єктні) моделі організаційної системи та схеми інформаційних і матеріальних потоків в організації, застосовуючи сучасні діаграмні техніки (прецедентів, взаємодії, онтології тощо) і стандарти, у тому числі з використанням CASE-інструментарію; проектувати структуру та створювати машинну інформаційну базу підприємства чи організації на підставі вимог користувачів у фор-мі бази знань за допомогою CASE-інструментарію у середовищі інтелектуальних систем; формулювати функціональні вимоги до інформаційних систем, розробляти технічні завдання, функціональні специфікації і </w:t>
            </w:r>
            <w:proofErr w:type="spellStart"/>
            <w:r w:rsidR="007D0443" w:rsidRPr="007D044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7D0443" w:rsidRPr="007D0443">
              <w:rPr>
                <w:rFonts w:ascii="Times New Roman" w:hAnsi="Times New Roman"/>
                <w:sz w:val="24"/>
                <w:szCs w:val="24"/>
              </w:rPr>
              <w:t>.; беручи участь на всіх етапах проектування, розробки (набуття), впровадження й експлуатації інформаційних систем і технологій, оцінювати їхню адекватність і ефективність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820655" w:rsidRDefault="0082065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індуктивного виведення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71CB2">
              <w:rPr>
                <w:rFonts w:ascii="Times New Roman" w:eastAsia="Times New Roman" w:hAnsi="Times New Roman"/>
                <w:sz w:val="24"/>
                <w:szCs w:val="24"/>
              </w:rPr>
              <w:t xml:space="preserve">нечітка логіка, метод групового врахування аргументів,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онтології,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UML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Default="00F73FBD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3FBD" w:rsidRPr="006A6169" w:rsidRDefault="00F73FBD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473FB2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B2">
              <w:rPr>
                <w:rFonts w:ascii="Times New Roman" w:hAnsi="Times New Roman"/>
                <w:sz w:val="24"/>
                <w:szCs w:val="24"/>
              </w:rPr>
              <w:t xml:space="preserve">Вивчення дисципліни «Технології менеджменту знань» забезпечується отриманими знаннями з курсів: «Інформатика», «Інформаційні системи у </w:t>
            </w:r>
            <w:r w:rsidR="00820655">
              <w:rPr>
                <w:rFonts w:ascii="Times New Roman" w:hAnsi="Times New Roman"/>
                <w:sz w:val="24"/>
                <w:szCs w:val="24"/>
              </w:rPr>
              <w:t>менеджменті», «Вища математика»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 з програмними системами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F00B2" w:rsidRDefault="00B22568" w:rsidP="00655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Protégé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86C41" w:rsidRDefault="00386C41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оцінки; максимальна кількість балів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Виокремлюють такі методи автоматичного витягу знань з даних і текстів: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Парадокс експертизи: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Техніка репертуарних решіток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вільних асоціацій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спостережень за роботою експерта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формування переліку понять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 експертом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Classification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Кластеризація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Clustering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Асоціація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Associations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Послідовність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Sequence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), або послідовна асоціація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sequential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association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Задачі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Аналіз "думок вголос"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Прогнозування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Forecasti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g)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Визначення відхилень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Deviatio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Detection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), аналіз відхилень або викидів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Оцінювання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Estimation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зв'язків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Link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Analysis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Візуалізація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Visualization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Graph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Підбивання підсумків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Summarization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Content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Usage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Статистичні методи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поділяють на такі групи методів: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Анкетування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Structure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Social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– це: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Кібернетичні методи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поділяють на такі групи методів: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Кібернетичні методи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поділяють на такі групи методів: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Діалог з експертом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Приклади систем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Інтерв'ю з експертом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Приклади систем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Метод сортування карток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елементи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елементи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Text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Круглий стіл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напрями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Мозковий штурм належить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До завдань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Mining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відносять: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Експертні ігри належать до: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Якого методу індуктивного виведення Міля немає?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Який метод (які методи) індуктивного виведення Міля є?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подібності (метод індуктивного виведення) можна записати так: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відмінності (метод індуктивного виведення) можна записати так: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залишків (метод індуктивного виведення) можна записати так: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В основу роботи системи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покладено: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Найкращий вибір вхідного атрибута (система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) здійснюється на підставі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імплікативної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Кінцеву гіпотезу (система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) формують на підставі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імплікативної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Виберіть методи індуктивного виведення Міля: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Класи систем автоматичного набуття знань: </w:t>
            </w:r>
          </w:p>
          <w:p w:rsidR="009807EE" w:rsidRPr="00CD1ED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Імплікативні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залежності, що покладені в основу роботи системи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20655" w:rsidRDefault="009807EE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Імплікативні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залежності, що не використовуються в процесі роботи системи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Rule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Знання можна подати такими моделями: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 логічних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продукційних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 фреймових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У об'єктно-орієнтованих моделях знання подають за допомогою: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Типи відношень у семантичних мережах: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Пошук відповіді в базі знань, що подана семантичною мережею, зводиться до: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Пошук відповіді в базі знань, що подана логіко-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продукційними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моделями, зводиться до: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Об'єкт характеризується: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Клас характеризується: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Якого типу відношення між класами в об'єктно-орієнтованій моделі немає?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Який тип відношення між класами в об'єктно-орієнтованій моделі є?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Інкапсуляція – це: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Успадкування – це: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Поліморфізм – це: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Якого типу функцій належності нечітких множин не існує: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Які типи функцій належності нечітких множин 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Дві нечіткі множини A і B базової множини X називають рівними, якщо: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Нечітка множина A є підмножиною нечіткої множини B, якщо: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Перетином двох нечітких множин A і B називають множину C з функцією належності: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Об'єднанням двох нечітких множин A і B називають множину C з функцією належності: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Нечітку множину D називають доповненням нечіткої множини A, якщо (функції належності нечітких множин задані на діапазоні [0; 1]):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Є такі методи модифікації нечіткої множини, яка описує висновок нечіткого логічного правила: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Є такі методи об'єднання (суперпозиції) модифікованих нечітких множин, які описують висновок нечіткого логічного правила: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Є такі методи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скаляризації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 нечітких множин: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визначення нечіткої імплікації (метод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-імплікації) формально описують так: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нечіткої імплікації (метод нечіткого розширення класичної імплікації) формально описують так: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визначення нечіткої імплікації (метод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) формально описують так: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b=0.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b=1.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b=0.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b=1.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b=0. Значення істинності нечіткої імплікації А→В, розрахованої на підставі формули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b=1. Значення істинності нечіткої імплікації А→В, розрахованої на підставі формули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a=1 i b=0. Значення істинності нечіткої імплікації А→В, розрахованої на підставі формули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-імплікації,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b=1. Значення істинності класичної імплікації А→В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b=0.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a=0 i b=1.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Задано імплікацію А→В. Значення істинності аргументів a=1 i b=0.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Задано імплікацію А→В. Значення істинності аргументів a=1 i b=1. Значення істинності нечіткої імплікації А→В, розрахованої на підставі формули нечіткого розширення класичної імплікації,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b=0.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a=0 i b=1.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a=1 i b=0.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Задано імплікацію А→В. Значення істинності аргументів a=1 i b=1. Значення істинності нечіткої імплікації А→В, розрахованої на підставі формули нечіткої імплікації </w:t>
            </w:r>
            <w:proofErr w:type="spellStart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Лукасевича</w:t>
            </w:r>
            <w:proofErr w:type="spellEnd"/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, дорівнює: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Яких структур алгоритмів самоорганізації немає?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Які структури алгоритмів самоорганізації існують?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Головні принципи методу групового врахування аргументів: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 елементарні класифікатори найчастіше вибирають: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 критерій селекції найчастіше вибирають: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Вид часткових описів методу групового врахування аргументів: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Коефіцієнти моделі у методі групового врахування аргументів розраховують на підставі даних: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Якість побудованих моделей у методі групового врахування аргументів контролюють на підставі даних:</w:t>
            </w:r>
          </w:p>
          <w:p w:rsidR="00820655" w:rsidRPr="00820655" w:rsidRDefault="0082065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655">
              <w:rPr>
                <w:rFonts w:ascii="Times New Roman" w:eastAsia="Times New Roman" w:hAnsi="Times New Roman"/>
                <w:sz w:val="24"/>
                <w:szCs w:val="24"/>
              </w:rPr>
              <w:t>. Метод групового врахування аргументів передбачає виконання: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OIL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OWL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Ontolingua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верхнього рівня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top-level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предметних областей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domain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завдань (задач)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task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Онтології програми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ontology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У загальному розумінні онтологія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У  інформаційних  технологіях онтологія 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Чіткість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Узгодженість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Розширюваність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Мінімум впливу кодування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Мінімум онтологічних зобов'язань як 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 інформаційних технологіях онтології розробляють: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За призначенням онтології поділяють: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За виразністю онтології класифікують: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Позначте основні компоненти Онтології: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Позначте основні компоненти Онтології: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Найпопулярніші мови опису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(за Грубером):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проектування та реалізації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онтологій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(за Грубером):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Дескриптивна логіка –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Дескриптивну логіку ще називають: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ALC –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TBox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мови ALC –це: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ABox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мови ALC –це: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Описові логіки оперують поняттями: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Типовими конструкторами для побудови складових концептів 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Типовими конструкторами для побудови складових концептів 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Аксіоми мови ALC бувають таких типів: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Для ALC виділяють такі основні завдання логічного висновку: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Діаграму прецедентів ще називають: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прецедентів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Прецедент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Прецеденти на діаграмах прецедентів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прецедентів: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Об'єкти на діаграмах об'єктів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класів описує: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об'єктів описує: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класів: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об'єктів: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 на діаграмах класів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Повідомлення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Вид діяльності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Вид діяльності складається з: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Не існує таких типів дій: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виклику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повернення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створення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знищення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Дія відправлення: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Найпопулярніша мова опису діаграми послідовностей: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послідовностей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Об'єкти на діаграмах послідовностей позначають: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Лінію, яка позначає період існування об'єкта на діаграмах послідовностей називають: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кооперації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Діаграма видів діяльності відображає: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CASE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BPwin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ERwin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Rational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Rose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CASE.Аналітик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PowerDesigner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PowerBuilder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CASE-інструментарію за підходом до проектування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CASE-інструментарію за типами: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під час проектування інформаційних систем структурним підходом: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під час проектування інформаційних систем об'єктно-орієнтованим підходом: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аналізу і проектування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проектування баз даних і файлів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програмування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Приклад CASE-інструментарію, що застосовують для реінжинірингу інформаційних систем: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Функціональні вимоги до інформаційної системи: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SRS (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Software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Requirement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Specification</w:t>
            </w:r>
            <w:proofErr w:type="spellEnd"/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) - це: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видів діяльності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послідовностей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класів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об’єктів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кооперації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станів об’єктів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компонент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розгортання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Розроблення діаграми прецедентів здійснюється на етапі: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Етапи об’єктно-орієнтованого моделювання: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Напрямки об’єктно-орієнтованого аналізу: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Аналіз системних вимог передбачає: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Нефункціональні вимоги до інформаційної системи: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Результатом об’єктно-орієнтованого аналізу є: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Напрямки об’єктно-орієнтованого проектування: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Напрямки об’єктно-орієнтованого проектування: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Що не є етапом життєвого циклу інформаційної системи?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Що не є етапом життєвого циклу інформаційної системи?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Класифікація CASE-інструментарію в залежності від етапів життєвого циклу інформаційних систем, які автоматизує CASE-інструментарій: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Верхні CASE призначені для:</w:t>
            </w:r>
          </w:p>
          <w:p w:rsidR="00CD1ED5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Середні CASE призначені для:</w:t>
            </w:r>
          </w:p>
          <w:p w:rsidR="00B22568" w:rsidRPr="00CD1ED5" w:rsidRDefault="00CD1ED5" w:rsidP="00971CB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5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D5">
              <w:rPr>
                <w:rFonts w:ascii="Times New Roman" w:eastAsia="Times New Roman" w:hAnsi="Times New Roman"/>
                <w:sz w:val="24"/>
                <w:szCs w:val="24"/>
              </w:rPr>
              <w:t>Нижні CASE призначені для: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820655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2C0E4D" w:rsidRPr="00FA04FC" w:rsidTr="002C0E4D">
        <w:tc>
          <w:tcPr>
            <w:tcW w:w="634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B22568" w:rsidRPr="00FA04FC" w:rsidRDefault="00D17ECA" w:rsidP="00D1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B22568" w:rsidRPr="00FA04FC" w:rsidRDefault="00B22568" w:rsidP="0094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1.</w:t>
            </w:r>
          </w:p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Методи витягу знань з даних і текстів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Методи роботи з експертами.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структурування знань.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2.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Методи придбання знань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Класи систем автоматичного набуття знань.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виявлення логічних закономірностей у даних.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індуктивного виведення Міля. </w:t>
            </w:r>
          </w:p>
          <w:p w:rsidR="006756BD" w:rsidRPr="00FA04FC" w:rsidRDefault="006756BD" w:rsidP="006756B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Приклад систем з автоматичним набуттям знань.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756BD" w:rsidRPr="00FA04FC" w:rsidRDefault="006756BD" w:rsidP="006756BD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756BD" w:rsidRPr="00FA04FC" w:rsidRDefault="006756BD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Кравець Р. Б. Інформаційні технології організації бізнесу: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Р. Б. Кравець, Ю. О. Сєров, О. В.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Марковець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Видавництво Львівської політехніки, 2013. – 228 с.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E04FC2" w:rsidP="002B1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Оцініть ефективність використання т</w:t>
            </w:r>
            <w:r w:rsidRPr="00E04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ехнік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парних порівнянь, техніки репертуарних решіток, т</w:t>
            </w:r>
            <w:r w:rsidRPr="00E04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 рішень та дерев виведення.</w:t>
            </w:r>
            <w:r w:rsidR="002B1E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Проаналізуйте м</w:t>
            </w:r>
            <w:r w:rsidR="002B1EAD" w:rsidRPr="002B1E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етоди індуктивного виведення Міля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10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2E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моделей методом групового врахування аргументів у середовищі Microsoft Excel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6909DB" w:rsidP="00690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6909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ідготу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6909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дані для побудови моделі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E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методом групового врахування аргументів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85482" w:rsidRPr="00100A0B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3.</w:t>
            </w:r>
          </w:p>
          <w:p w:rsidR="00685482" w:rsidRPr="00100A0B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Методи представлення знань</w:t>
            </w:r>
          </w:p>
          <w:p w:rsidR="00685482" w:rsidRPr="00100A0B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Поняття знань.</w:t>
            </w:r>
          </w:p>
          <w:p w:rsidR="00685482" w:rsidRPr="00100A0B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Логіко-</w:t>
            </w:r>
            <w:proofErr w:type="spellStart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продукційна</w:t>
            </w:r>
            <w:proofErr w:type="spellEnd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модель знань. </w:t>
            </w:r>
          </w:p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Фреймова модель знань.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292C04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  <w:r w:rsidR="006824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D62907" w:rsidP="00D62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уйте логіко-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продукційну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фреймов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моделі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моделей методом групового врахування аргументів у середовищі Microsoft Excel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E77CFB" w:rsidRPr="00E77CFB" w:rsidRDefault="00E77CFB" w:rsidP="00E7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</w:t>
            </w: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проксиму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функцію залежності </w:t>
            </w: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результатного показника від вхідних показників</w:t>
            </w:r>
          </w:p>
          <w:p w:rsidR="00685482" w:rsidRPr="00FA04FC" w:rsidRDefault="00E77CFB" w:rsidP="00E77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C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методом групового врахування аргументів</w:t>
            </w:r>
            <w:r w:rsidR="00A971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4.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Методи представлення знань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Семантичні мережі. 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Об'єктно-орієнтована модель знань.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Методи компіляції знань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Методи самоорганізації.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 Програмне забезпечення методів самоорганізації.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5.</w:t>
            </w:r>
          </w:p>
          <w:p w:rsidR="00685482" w:rsidRPr="00100A0B" w:rsidRDefault="00685482" w:rsidP="0068548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Методи компіляції знань</w:t>
            </w:r>
          </w:p>
          <w:p w:rsidR="00685482" w:rsidRPr="00FA04FC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Системи, що ґрунтуються на нечіткій </w:t>
            </w:r>
            <w:proofErr w:type="spellStart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логіці</w:t>
            </w:r>
            <w:proofErr w:type="spellEnd"/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292C04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D62907" w:rsidP="00B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2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уйте семантичну мережу та об'єктно-орієнтовану </w:t>
            </w:r>
            <w:r w:rsidRPr="00100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 знан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Дослідіть</w:t>
            </w:r>
            <w:proofErr w:type="spellEnd"/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та недоліки м</w:t>
            </w:r>
            <w:r w:rsidR="00B533D5" w:rsidRP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етод</w:t>
            </w:r>
            <w:r w:rsid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B533D5" w:rsidRPr="00B53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врахування мінливості зовнішнього середовища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моделей методом групового врахування аргументів у середовищі Microsoft Excel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одержані результати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побудованої моделі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6.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Методи компіляції знань</w:t>
            </w:r>
          </w:p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Системи, що ґрунтуються на нечіткій </w:t>
            </w:r>
            <w:proofErr w:type="spellStart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логіці</w:t>
            </w:r>
            <w:proofErr w:type="spellEnd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292C04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Львів: Видавничий центр ЛНУ імені Івана 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Франка, 2009. – 238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287310" w:rsidP="00287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Дослідіть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та недоліки с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истем, що ґрунтуються на нечіткій </w:t>
            </w:r>
            <w:proofErr w:type="spellStart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логіці</w:t>
            </w:r>
            <w:proofErr w:type="spellEnd"/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сховища даних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іть сховище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даних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7.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Принципи і стандарти онтологічних досліджень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Суть та класифікація </w:t>
            </w:r>
            <w:proofErr w:type="spellStart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онтологій</w:t>
            </w:r>
            <w:proofErr w:type="spellEnd"/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та стандарти онтологічних досліджень. 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8.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Принципи і стандарти онтологічних досліджень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Онтологічні мови. 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Методи класифікації і систематизації знань.</w:t>
            </w:r>
          </w:p>
          <w:p w:rsidR="00685482" w:rsidRPr="00DC557D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дескриптивної логіки. </w:t>
            </w:r>
          </w:p>
          <w:p w:rsidR="00685482" w:rsidRPr="00FA04FC" w:rsidRDefault="00685482" w:rsidP="00685482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DC55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Синтаксис дескриптивної логіки.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287310" w:rsidP="00287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Наведіть п</w:t>
            </w:r>
            <w:r w:rsidRPr="002873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риклад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онтології в графічному вигляді та п</w:t>
            </w:r>
            <w:r w:rsidRPr="002873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риклад формальн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ого опису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онтологій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мові OWL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Побудова асоціативних правил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Побудуйте асоціативні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правил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9.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Методи класифікації і систематизації знань.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Семантика ALC. 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CASE-інструментарій контекстного моделювання і моделювання прецедентів</w:t>
            </w:r>
          </w:p>
          <w:p w:rsidR="00685482" w:rsidRPr="00864455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прецедентів. </w:t>
            </w:r>
          </w:p>
          <w:p w:rsidR="00685482" w:rsidRPr="00FA04FC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6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CASE-інструментарій створення діаграм прецедентів.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Львів: Видавничий центр ЛНУ імені Івана 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Франка, 2009. – 238 с.</w:t>
            </w:r>
          </w:p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01AE1" w:rsidP="000E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Розробіть</w:t>
            </w:r>
            <w:r w:rsidR="0096300A" w:rsidRPr="009630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96300A" w:rsidRPr="009630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прецедентів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E29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Кластеризація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об’єктів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карт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Кохонена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Бінарна класифікація об’єктів в OLAP-системі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логістичної регресії та алгоритму С4.5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Прок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ластериз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уйте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карт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Кохонена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класифік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уйте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засобами логістичної регресії та алгоритму С4.5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10.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Методи і засоби об'єктного моделювання.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та класифікація об’єктів і класів.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класів.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Діаграми об’єктів.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Діаграмна техніка об'єктного моделювання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послідовностей.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кооперації.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видів діяльності.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Діаграми взаємодії.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11.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CASE-інструментарій об'єктного моделювання.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CASE-інструментарій створення діаграм послідовностей.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CASE-інструментарій створення діаграм кооперації.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CASE-інструментарій створення діаграм видів діяльності. 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CASE-інструментарій створення діаграм взаємодії.</w:t>
            </w:r>
          </w:p>
          <w:p w:rsidR="00685482" w:rsidRPr="00F23A01" w:rsidRDefault="00685482" w:rsidP="00685482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Методи об’єктно-орієнтованого аналізу.</w:t>
            </w:r>
          </w:p>
          <w:p w:rsidR="00685482" w:rsidRPr="00FA04FC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Методологія об’єктно-орієнтованого аналізу.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01AE1" w:rsidP="00A97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Розробіть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класів,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об’єктів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послідовностей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кооперації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01A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діаграм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видів діяльності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взаємодії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A971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Технологія розроблення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онтологій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редакторі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Protégé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896117" w:rsidRPr="00896117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іть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онтологію задачі обліку надходжень необоротних активі на</w:t>
            </w:r>
          </w:p>
          <w:p w:rsidR="00685482" w:rsidRPr="00FA04FC" w:rsidRDefault="006A5F4B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896117"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ідприємство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12.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Методи об’єктно-орієнтованого проектування.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Методологія об’єктно-орієнтованого проектування.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вимог до інформаційних систем. 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Постановка задачі. 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Технічне завдання.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Технічне проектування інформаційних систем. 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Робоче проектування інформаційних систем.</w:t>
            </w:r>
          </w:p>
          <w:p w:rsidR="00685482" w:rsidRPr="00F23A01" w:rsidRDefault="00685482" w:rsidP="00685482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13. Інструментальні CASE-засоби підтримки життєвого циклу інформаційного (програмного) забезпечення</w:t>
            </w:r>
          </w:p>
          <w:p w:rsidR="00685482" w:rsidRPr="00FA04FC" w:rsidRDefault="00685482" w:rsidP="00685482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23A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CASE-засоби підтримки життєвого циклу програмного забезпечення.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Основи економічних експертних систем: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О.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Львів: Видавничий центр ЛНУ імені Івана Франка, 2009. – 238 с.</w:t>
            </w:r>
          </w:p>
          <w:p w:rsidR="00685482" w:rsidRPr="00FA04FC" w:rsidRDefault="00685482" w:rsidP="00685482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Литвин В. В. Технології менеджменту знань: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В. В. Литвин; за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В.В.Пасічника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2-ге вид. – Львів: Видавництво Львівської політехніки, 2013. – 260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2B4C54" w:rsidP="00E04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Дослідіть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технічного та робочого проекту інформаційних систем</w:t>
            </w:r>
            <w:r w:rsidR="006A5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2C0E4D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запитів в системі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Protégé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курсу «Електронна комерція» для студентів економічного факультету / [Уклад. О. </w:t>
            </w:r>
            <w:proofErr w:type="spellStart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6756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 – Львів, Дільниця оперативного друку економічного факультету Львівського національного університету імені Івана Франка, 2014. – 48 с.</w:t>
            </w:r>
          </w:p>
        </w:tc>
        <w:tc>
          <w:tcPr>
            <w:tcW w:w="1781" w:type="dxa"/>
            <w:shd w:val="clear" w:color="auto" w:fill="auto"/>
          </w:tcPr>
          <w:p w:rsidR="00896117" w:rsidRPr="00896117" w:rsidRDefault="00896117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іть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викона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йте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запити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</w:t>
            </w: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задачі обліку надходжень необоротних активі на</w:t>
            </w:r>
          </w:p>
          <w:p w:rsidR="00685482" w:rsidRPr="00FA04FC" w:rsidRDefault="006A5F4B" w:rsidP="0089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896117" w:rsidRPr="0089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ідприємство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5784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87A"/>
    <w:multiLevelType w:val="hybridMultilevel"/>
    <w:tmpl w:val="49D29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0"/>
  </w:num>
  <w:num w:numId="4">
    <w:abstractNumId w:val="17"/>
  </w:num>
  <w:num w:numId="5">
    <w:abstractNumId w:val="17"/>
  </w:num>
  <w:num w:numId="6">
    <w:abstractNumId w:val="22"/>
  </w:num>
  <w:num w:numId="7">
    <w:abstractNumId w:val="9"/>
  </w:num>
  <w:num w:numId="8">
    <w:abstractNumId w:val="19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0"/>
  </w:num>
  <w:num w:numId="19">
    <w:abstractNumId w:val="3"/>
  </w:num>
  <w:num w:numId="20">
    <w:abstractNumId w:val="15"/>
  </w:num>
  <w:num w:numId="21">
    <w:abstractNumId w:val="21"/>
  </w:num>
  <w:num w:numId="22">
    <w:abstractNumId w:val="24"/>
  </w:num>
  <w:num w:numId="23">
    <w:abstractNumId w:val="2"/>
  </w:num>
  <w:num w:numId="24">
    <w:abstractNumId w:val="5"/>
  </w:num>
  <w:num w:numId="25">
    <w:abstractNumId w:val="20"/>
  </w:num>
  <w:num w:numId="26">
    <w:abstractNumId w:val="8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0A34"/>
    <w:rsid w:val="00012D9F"/>
    <w:rsid w:val="00075261"/>
    <w:rsid w:val="000A40E9"/>
    <w:rsid w:val="000A6FA4"/>
    <w:rsid w:val="000C4AD6"/>
    <w:rsid w:val="000E2955"/>
    <w:rsid w:val="000F00B2"/>
    <w:rsid w:val="00100A0B"/>
    <w:rsid w:val="001670CD"/>
    <w:rsid w:val="00195508"/>
    <w:rsid w:val="00222E21"/>
    <w:rsid w:val="00236BF2"/>
    <w:rsid w:val="00255C02"/>
    <w:rsid w:val="00287310"/>
    <w:rsid w:val="00292C04"/>
    <w:rsid w:val="002A338E"/>
    <w:rsid w:val="002A56D4"/>
    <w:rsid w:val="002B1EAD"/>
    <w:rsid w:val="002B2396"/>
    <w:rsid w:val="002B4C54"/>
    <w:rsid w:val="002C0E4D"/>
    <w:rsid w:val="002E5E0D"/>
    <w:rsid w:val="002F1304"/>
    <w:rsid w:val="00301AE1"/>
    <w:rsid w:val="00315A00"/>
    <w:rsid w:val="00345EC0"/>
    <w:rsid w:val="00386C41"/>
    <w:rsid w:val="003B2E08"/>
    <w:rsid w:val="00466D16"/>
    <w:rsid w:val="00473FB2"/>
    <w:rsid w:val="0048677E"/>
    <w:rsid w:val="00486BAA"/>
    <w:rsid w:val="004A2585"/>
    <w:rsid w:val="00516AC9"/>
    <w:rsid w:val="005521DB"/>
    <w:rsid w:val="0056379A"/>
    <w:rsid w:val="00642275"/>
    <w:rsid w:val="00650975"/>
    <w:rsid w:val="006552D5"/>
    <w:rsid w:val="006756BD"/>
    <w:rsid w:val="006824B6"/>
    <w:rsid w:val="00685482"/>
    <w:rsid w:val="006905A4"/>
    <w:rsid w:val="006909DB"/>
    <w:rsid w:val="006A5F4B"/>
    <w:rsid w:val="006B694C"/>
    <w:rsid w:val="0070119C"/>
    <w:rsid w:val="00793E76"/>
    <w:rsid w:val="007A2F63"/>
    <w:rsid w:val="007D0443"/>
    <w:rsid w:val="00820655"/>
    <w:rsid w:val="00864455"/>
    <w:rsid w:val="00896117"/>
    <w:rsid w:val="008A43A5"/>
    <w:rsid w:val="008A4639"/>
    <w:rsid w:val="0094793F"/>
    <w:rsid w:val="0096300A"/>
    <w:rsid w:val="00971CB2"/>
    <w:rsid w:val="00971F64"/>
    <w:rsid w:val="00980693"/>
    <w:rsid w:val="009807EE"/>
    <w:rsid w:val="00986503"/>
    <w:rsid w:val="009B21A1"/>
    <w:rsid w:val="00A20DD3"/>
    <w:rsid w:val="00A61D71"/>
    <w:rsid w:val="00A773CF"/>
    <w:rsid w:val="00A9716B"/>
    <w:rsid w:val="00AB1056"/>
    <w:rsid w:val="00AC272B"/>
    <w:rsid w:val="00B22568"/>
    <w:rsid w:val="00B533D5"/>
    <w:rsid w:val="00BB2CB2"/>
    <w:rsid w:val="00BB3926"/>
    <w:rsid w:val="00C00FA4"/>
    <w:rsid w:val="00C32B35"/>
    <w:rsid w:val="00C3667A"/>
    <w:rsid w:val="00CA5E86"/>
    <w:rsid w:val="00CD1ED5"/>
    <w:rsid w:val="00CE3518"/>
    <w:rsid w:val="00CF678C"/>
    <w:rsid w:val="00D17ECA"/>
    <w:rsid w:val="00D32E60"/>
    <w:rsid w:val="00D52441"/>
    <w:rsid w:val="00D5247A"/>
    <w:rsid w:val="00D62907"/>
    <w:rsid w:val="00D76FDF"/>
    <w:rsid w:val="00D84C68"/>
    <w:rsid w:val="00DC557D"/>
    <w:rsid w:val="00E04FC2"/>
    <w:rsid w:val="00E77CFB"/>
    <w:rsid w:val="00EE648F"/>
    <w:rsid w:val="00F04DC8"/>
    <w:rsid w:val="00F2116D"/>
    <w:rsid w:val="00F23A01"/>
    <w:rsid w:val="00F40B7A"/>
    <w:rsid w:val="00F60E6E"/>
    <w:rsid w:val="00F67152"/>
    <w:rsid w:val="00F73FBD"/>
    <w:rsid w:val="00FA04FC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0DA3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18402</Words>
  <Characters>10490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87</cp:revision>
  <dcterms:created xsi:type="dcterms:W3CDTF">2020-09-21T21:44:00Z</dcterms:created>
  <dcterms:modified xsi:type="dcterms:W3CDTF">2023-06-18T21:33:00Z</dcterms:modified>
</cp:coreProperties>
</file>