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23CF4" w14:textId="77777777" w:rsidR="000D40FE" w:rsidRPr="00323B6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14:paraId="23F928D8" w14:textId="77777777" w:rsidR="000D40FE" w:rsidRPr="00323B6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28A0B5E5" w14:textId="0D8DB560" w:rsidR="000D40FE" w:rsidRPr="00323B6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Факультет </w:t>
      </w:r>
      <w:r w:rsidR="009A1082"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>економічний</w:t>
      </w:r>
    </w:p>
    <w:p w14:paraId="386EDA59" w14:textId="3CE4FC1D" w:rsidR="000D40FE" w:rsidRPr="00323B6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>Кафедра</w:t>
      </w:r>
      <w:r w:rsidR="009A1082"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економічної кібернетики</w:t>
      </w:r>
    </w:p>
    <w:p w14:paraId="0FBB5F1A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23C28F6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8FC27E6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C93AE25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88CAA91" w14:textId="77777777" w:rsidR="00B75914" w:rsidRPr="009A1082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9A1082">
        <w:rPr>
          <w:rFonts w:ascii="Times New Roman" w:hAnsi="Times New Roman"/>
          <w:b/>
          <w:sz w:val="24"/>
          <w:szCs w:val="24"/>
        </w:rPr>
        <w:t>Затверджено</w:t>
      </w:r>
    </w:p>
    <w:p w14:paraId="57785085" w14:textId="778D1718" w:rsidR="00B75914" w:rsidRPr="009A1082" w:rsidRDefault="00B75914" w:rsidP="009A1082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9A1082" w:rsidRPr="009A1082">
        <w:rPr>
          <w:rFonts w:ascii="Times New Roman" w:hAnsi="Times New Roman"/>
          <w:sz w:val="24"/>
          <w:szCs w:val="24"/>
        </w:rPr>
        <w:t>економічної кібернетики</w:t>
      </w:r>
    </w:p>
    <w:p w14:paraId="3DB5E1F9" w14:textId="36752A07" w:rsidR="00B75914" w:rsidRPr="009A1082" w:rsidRDefault="009A1082" w:rsidP="009A1082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 xml:space="preserve">економічного </w:t>
      </w:r>
      <w:r w:rsidR="00B75914" w:rsidRPr="009A1082">
        <w:rPr>
          <w:rFonts w:ascii="Times New Roman" w:hAnsi="Times New Roman"/>
          <w:sz w:val="24"/>
          <w:szCs w:val="24"/>
        </w:rPr>
        <w:t xml:space="preserve">факультету </w:t>
      </w:r>
    </w:p>
    <w:p w14:paraId="05AAD744" w14:textId="77777777" w:rsidR="00B75914" w:rsidRPr="00CE03B1" w:rsidRDefault="00B75914" w:rsidP="009A1082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0610FBF6" w14:textId="4FD95F47" w:rsidR="00B75914" w:rsidRPr="00CE03B1" w:rsidRDefault="00B75914" w:rsidP="009A1082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A942E7">
        <w:rPr>
          <w:rFonts w:ascii="Times New Roman" w:hAnsi="Times New Roman"/>
          <w:sz w:val="24"/>
          <w:szCs w:val="24"/>
        </w:rPr>
        <w:t>(протокол № ____ від _______ 20</w:t>
      </w:r>
      <w:r w:rsidR="00C227D8" w:rsidRPr="00A942E7">
        <w:rPr>
          <w:rFonts w:ascii="Times New Roman" w:hAnsi="Times New Roman"/>
          <w:sz w:val="24"/>
          <w:szCs w:val="24"/>
        </w:rPr>
        <w:t xml:space="preserve">20 </w:t>
      </w:r>
      <w:r w:rsidRPr="00A942E7">
        <w:rPr>
          <w:rFonts w:ascii="Times New Roman" w:hAnsi="Times New Roman"/>
          <w:sz w:val="24"/>
          <w:szCs w:val="24"/>
        </w:rPr>
        <w:t>р.)</w:t>
      </w:r>
    </w:p>
    <w:p w14:paraId="549EBEF1" w14:textId="77777777" w:rsidR="00B75914" w:rsidRDefault="00B75914" w:rsidP="009A1082">
      <w:pPr>
        <w:spacing w:after="0"/>
        <w:ind w:left="4820"/>
        <w:rPr>
          <w:rFonts w:ascii="Times New Roman" w:hAnsi="Times New Roman"/>
          <w:sz w:val="24"/>
          <w:szCs w:val="24"/>
        </w:rPr>
      </w:pPr>
    </w:p>
    <w:p w14:paraId="691014B1" w14:textId="77777777" w:rsidR="00B75914" w:rsidRDefault="00B75914" w:rsidP="009A1082">
      <w:pPr>
        <w:spacing w:after="0"/>
        <w:ind w:left="4820"/>
        <w:rPr>
          <w:rFonts w:ascii="Times New Roman" w:hAnsi="Times New Roman"/>
          <w:sz w:val="24"/>
          <w:szCs w:val="24"/>
        </w:rPr>
      </w:pPr>
    </w:p>
    <w:p w14:paraId="28F6AEC8" w14:textId="73B1C1C9" w:rsidR="00B75914" w:rsidRDefault="00B75914" w:rsidP="009A1082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>________</w:t>
      </w:r>
      <w:r w:rsidR="009A1082">
        <w:rPr>
          <w:rFonts w:ascii="Times New Roman" w:hAnsi="Times New Roman"/>
          <w:sz w:val="24"/>
          <w:szCs w:val="24"/>
        </w:rPr>
        <w:t>___</w:t>
      </w:r>
      <w:r w:rsidRPr="00CE03B1">
        <w:rPr>
          <w:rFonts w:ascii="Times New Roman" w:hAnsi="Times New Roman"/>
          <w:sz w:val="24"/>
          <w:szCs w:val="24"/>
        </w:rPr>
        <w:t>___</w:t>
      </w:r>
      <w:r w:rsidR="009A1082">
        <w:rPr>
          <w:rFonts w:ascii="Times New Roman" w:hAnsi="Times New Roman"/>
          <w:sz w:val="24"/>
          <w:szCs w:val="24"/>
        </w:rPr>
        <w:t>Вовк В.М.</w:t>
      </w:r>
    </w:p>
    <w:p w14:paraId="1A9BF863" w14:textId="77777777"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C94BD9C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91AD2E9" w14:textId="77777777" w:rsidR="003367D1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213B0D19" w14:textId="3229BB59" w:rsidR="00B75914" w:rsidRPr="003367D1" w:rsidRDefault="000D40FE" w:rsidP="00E53509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color w:val="000000"/>
          <w:sz w:val="32"/>
          <w:szCs w:val="32"/>
        </w:rPr>
      </w:pPr>
      <w:r w:rsidRPr="003367D1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«</w:t>
      </w:r>
      <w:r w:rsidR="00E84A9B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Основи управлінського аналізу</w:t>
      </w:r>
      <w:r w:rsidRPr="003367D1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»</w:t>
      </w:r>
      <w:r w:rsidR="00B75914" w:rsidRPr="003367D1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,</w:t>
      </w:r>
    </w:p>
    <w:p w14:paraId="0A65CB46" w14:textId="18C10324" w:rsidR="00CC797C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 w:rsidR="00CC797C"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>“Економічна кібернетика”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CC797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першого (бакалаврського)</w:t>
      </w:r>
      <w:r w:rsidR="00CC797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  <w:r w:rsidR="006D70D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</w:t>
      </w:r>
    </w:p>
    <w:p w14:paraId="307BD31B" w14:textId="7E33E437" w:rsidR="009A1082" w:rsidRPr="009A1082" w:rsidRDefault="006D70D9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з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B75914"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спеціальності </w:t>
      </w:r>
      <w:r w:rsidR="009A1082"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051 “Економіка” </w:t>
      </w:r>
    </w:p>
    <w:p w14:paraId="717242A2" w14:textId="195E7EF0" w:rsidR="00B75914" w:rsidRPr="009A1082" w:rsidRDefault="009A1082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>освітня програма “Економічна кібернетика”</w:t>
      </w:r>
      <w:r w:rsidR="00B75914"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477336CA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A09B9A0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2230B96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58058E1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7DE6BFB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AE15786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1E7734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73DCB66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43BA6D9" w14:textId="77777777"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7CA494" w14:textId="77777777"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BC2A220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4D26FE2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81AE4CD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AC8730C" w14:textId="50F0EFE9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9A1082" w:rsidRPr="009A1082">
        <w:rPr>
          <w:rFonts w:ascii="Times New Roman" w:eastAsia="Times New Roman" w:hAnsi="Times New Roman"/>
          <w:b/>
          <w:sz w:val="24"/>
          <w:szCs w:val="24"/>
          <w:lang w:val="ru-RU"/>
        </w:rPr>
        <w:t>2020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26F286C0" w14:textId="4611E6C6" w:rsidR="009A1082" w:rsidRDefault="009A108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4556D343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caps/>
          <w:color w:val="000000"/>
          <w:sz w:val="28"/>
          <w:szCs w:val="28"/>
        </w:rPr>
      </w:pPr>
      <w:r w:rsidRPr="009A1082"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lastRenderedPageBreak/>
        <w:t>Силабус</w:t>
      </w:r>
    </w:p>
    <w:p w14:paraId="2EF399A4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59FC6C" w14:textId="52F904D8" w:rsidR="009A1082" w:rsidRPr="009A1082" w:rsidRDefault="00E84A9B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Основи управлінського аналізу</w:t>
      </w:r>
    </w:p>
    <w:p w14:paraId="61359EE3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A108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2020-2021</w:t>
      </w:r>
      <w:r w:rsidRPr="009A108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навчального року</w:t>
      </w:r>
    </w:p>
    <w:p w14:paraId="611D5AA1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2ACF78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2744"/>
        <w:gridCol w:w="7174"/>
      </w:tblGrid>
      <w:tr w:rsidR="009A1082" w:rsidRPr="00E84A9B" w14:paraId="67AF2856" w14:textId="77777777" w:rsidTr="009A1082">
        <w:trPr>
          <w:trHeight w:val="29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78A" w14:textId="77777777" w:rsidR="009A1082" w:rsidRPr="00E84A9B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DE95" w14:textId="4B3839DA" w:rsidR="009A1082" w:rsidRPr="00E84A9B" w:rsidRDefault="00E84A9B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Основи управлінського аналізу</w:t>
            </w:r>
          </w:p>
          <w:p w14:paraId="643BDD8C" w14:textId="01E65524" w:rsidR="00F67F68" w:rsidRPr="00E84A9B" w:rsidRDefault="00F67F68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84A9B" w14:paraId="4056093B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5B56" w14:textId="77777777" w:rsidR="009A1082" w:rsidRPr="00E84A9B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C1E4" w14:textId="77777777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ЛНУ імені Івана Франка, економічний факультет</w:t>
            </w:r>
          </w:p>
          <w:p w14:paraId="19476E98" w14:textId="77777777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 Львів, </w:t>
            </w:r>
            <w:proofErr w:type="spellStart"/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просп</w:t>
            </w:r>
            <w:proofErr w:type="spellEnd"/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Свободи, 18</w:t>
            </w:r>
          </w:p>
          <w:p w14:paraId="5EAA24E3" w14:textId="77777777" w:rsidR="001A4742" w:rsidRPr="00E84A9B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84A9B" w14:paraId="0CA9C52C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046F" w14:textId="77777777" w:rsidR="009A1082" w:rsidRPr="00E84A9B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F4A8" w14:textId="77777777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Економічний факультет, кафедра економічної кібернетики</w:t>
            </w:r>
          </w:p>
        </w:tc>
      </w:tr>
      <w:tr w:rsidR="009A1082" w:rsidRPr="00E84A9B" w14:paraId="0B1872AF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F170" w14:textId="77777777" w:rsidR="009A1082" w:rsidRPr="00E84A9B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7DD4" w14:textId="77777777" w:rsidR="009A1082" w:rsidRPr="00E84A9B" w:rsidRDefault="009A1082" w:rsidP="007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Галузь знань 05 “Соціальні та поведінкові науки”</w:t>
            </w:r>
            <w:r w:rsidRPr="00E84A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AC7ECCD" w14:textId="53CD278C" w:rsidR="009A1082" w:rsidRPr="00E84A9B" w:rsidRDefault="009A1082" w:rsidP="007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Спеціальність 051 “Економіка” </w:t>
            </w:r>
          </w:p>
          <w:p w14:paraId="1829DE72" w14:textId="77777777" w:rsidR="009A1082" w:rsidRPr="00E84A9B" w:rsidRDefault="009A1082" w:rsidP="007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Освітня програма “Економічна кібернетика”</w:t>
            </w:r>
          </w:p>
          <w:p w14:paraId="4EF794E8" w14:textId="52D43848" w:rsidR="001A4742" w:rsidRPr="00E84A9B" w:rsidRDefault="001A4742" w:rsidP="007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9A1082" w:rsidRPr="00E84A9B" w14:paraId="46BD9B04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545A" w14:textId="77777777" w:rsidR="009A1082" w:rsidRPr="00E84A9B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Викладачі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4FFC" w14:textId="77777777" w:rsidR="007E4E06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Антонів Василь Богданович, </w:t>
            </w:r>
            <w:proofErr w:type="spellStart"/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к.е.н</w:t>
            </w:r>
            <w:proofErr w:type="spellEnd"/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доц., </w:t>
            </w:r>
          </w:p>
          <w:p w14:paraId="63B9A4E4" w14:textId="77777777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доцент кафедри економічної кібернетики</w:t>
            </w:r>
          </w:p>
          <w:p w14:paraId="0F54E40E" w14:textId="603F5B2D" w:rsidR="001A4742" w:rsidRPr="00E84A9B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84A9B" w14:paraId="1C42F2D4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CF8D" w14:textId="77777777" w:rsidR="009A1082" w:rsidRPr="00E84A9B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EFD0" w14:textId="739CA40E" w:rsidR="009A1082" w:rsidRPr="00E84A9B" w:rsidRDefault="009A1082" w:rsidP="007E4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84A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vasyl.antoniv@lnu.edu.ua</w:t>
            </w:r>
          </w:p>
          <w:p w14:paraId="6F087333" w14:textId="2F4C2B67" w:rsidR="009A1082" w:rsidRPr="00E84A9B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://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cyber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lviv</w:t>
            </w:r>
            <w:proofErr w:type="spellEnd"/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person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/15</w:t>
            </w:r>
            <w:r w:rsidR="009A1082"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FF2AF7B" w14:textId="58E38826" w:rsidR="001A4742" w:rsidRPr="00E84A9B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84A9B" w14:paraId="2C574E42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6D48" w14:textId="77777777" w:rsidR="009A1082" w:rsidRPr="00E84A9B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3AD3" w14:textId="0674C4D8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Очні </w:t>
            </w:r>
            <w:r w:rsidR="00F67F68"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консультації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̈: за попередньою домовленістю в день проведення практичних/лабораторних занять (економічний факультет, </w:t>
            </w:r>
            <w:proofErr w:type="spellStart"/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просп</w:t>
            </w:r>
            <w:proofErr w:type="spellEnd"/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Свободи, 18, каф. Економічної кібернетики, </w:t>
            </w:r>
            <w:proofErr w:type="spellStart"/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308)</w:t>
            </w:r>
          </w:p>
          <w:p w14:paraId="79848F8B" w14:textId="77777777" w:rsidR="007E4E06" w:rsidRPr="00E84A9B" w:rsidRDefault="007E4E06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4B0780F" w14:textId="2C4D340A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Онлайн </w:t>
            </w:r>
            <w:r w:rsidR="00F67F68"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консультації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̈: за попередньою домовленістю 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gram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(+380</w:t>
            </w:r>
            <w:r w:rsidR="007E4E06"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7E4E06"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7E4E06"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62-16-12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або в  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робочі дні з 10.00 до 17.00</w:t>
            </w:r>
          </w:p>
          <w:p w14:paraId="70FAB542" w14:textId="77777777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5D3F26F" w14:textId="77777777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погодження часу консультацій слід писати на електронну пошту викладача або телефон (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gram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14:paraId="5D088EB3" w14:textId="77777777" w:rsidR="001A4742" w:rsidRPr="00E84A9B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4F63D4" w14:paraId="5A6898C1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FCAA" w14:textId="77777777" w:rsidR="009A1082" w:rsidRPr="004F63D4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3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DAC0" w14:textId="77777777" w:rsidR="009A1082" w:rsidRDefault="004F63D4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tgtFrame="wp-preview-24200" w:history="1">
              <w:r w:rsidRPr="004F63D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http://econom.lnu.edu.ua/course/osnovy-upravlinskoho-analizu</w:t>
              </w:r>
            </w:hyperlink>
          </w:p>
          <w:p w14:paraId="4626D28F" w14:textId="204BDFBD" w:rsidR="004F63D4" w:rsidRPr="004F63D4" w:rsidRDefault="004F63D4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D060A" w14:paraId="2055078E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1806" w14:textId="77777777" w:rsidR="009A1082" w:rsidRPr="009D060A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0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Інформація про курс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79D4" w14:textId="77777777" w:rsidR="00395CF7" w:rsidRPr="009D060A" w:rsidRDefault="009D060A" w:rsidP="009D0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60A">
              <w:rPr>
                <w:rFonts w:ascii="Times New Roman" w:hAnsi="Times New Roman"/>
                <w:sz w:val="24"/>
                <w:szCs w:val="24"/>
              </w:rPr>
              <w:t xml:space="preserve">Ефективне управління комерційною організацією вимагає створення ефективної служби управління, до цілей якої належать: збір, обробка та актуалізація техніко-економічної та планово-облікової інформації; поточне, оперативне та стратегічне планування операційної, інвестиційної та фінансової діяльності організації та її окремих структурних бізнес-одиниць; узагальнення поточної інформації про </w:t>
            </w:r>
            <w:proofErr w:type="spellStart"/>
            <w:r w:rsidRPr="009D060A">
              <w:rPr>
                <w:rFonts w:ascii="Times New Roman" w:hAnsi="Times New Roman"/>
                <w:sz w:val="24"/>
                <w:szCs w:val="24"/>
              </w:rPr>
              <w:t>Макрооточення</w:t>
            </w:r>
            <w:proofErr w:type="spellEnd"/>
            <w:r w:rsidRPr="009D060A">
              <w:rPr>
                <w:rFonts w:ascii="Times New Roman" w:hAnsi="Times New Roman"/>
                <w:sz w:val="24"/>
                <w:szCs w:val="24"/>
              </w:rPr>
              <w:t xml:space="preserve"> комерційної організації, в тому числі інформації маркетингового, техніко-технологічного та фінансового характеру з метою оцінки ефективності діяльності господарюючого суб'єкта та його структурних бізнес-одиниць (СБО); створення ефективної служби внутрішньогосподарського моніторингу для забезпечення ефективного контролю за виконанням розроблених та затверджених стратегічних і </w:t>
            </w:r>
            <w:proofErr w:type="spellStart"/>
            <w:r w:rsidRPr="009D060A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proofErr w:type="spellEnd"/>
            <w:r w:rsidRPr="009D060A">
              <w:rPr>
                <w:rFonts w:ascii="Times New Roman" w:hAnsi="Times New Roman"/>
                <w:sz w:val="24"/>
                <w:szCs w:val="24"/>
              </w:rPr>
              <w:t>-тактичних планів організації та її структурних підрозділів, аналітичного обґрунтування практичних управлінських рішень, спрямованих на коригування діяльності структурних підрозділів організації з метою підвищення їх керованості та ринкової капіталізації.</w:t>
            </w:r>
          </w:p>
          <w:p w14:paraId="4CDB9E4E" w14:textId="1AD517B7" w:rsidR="009D060A" w:rsidRPr="009D060A" w:rsidRDefault="009D060A" w:rsidP="009D0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84A9B" w14:paraId="1A77D970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97AB" w14:textId="797DBC9D" w:rsidR="009A1082" w:rsidRPr="00E84A9B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A18B" w14:textId="1ECF5B05" w:rsidR="009A1082" w:rsidRPr="00E84A9B" w:rsidRDefault="009A1082" w:rsidP="00336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Дисципліна “</w:t>
            </w:r>
            <w:r w:rsidR="00E84A9B"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Основи управлінського аналізу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” є </w:t>
            </w:r>
            <w:r w:rsidR="00E53509"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вибірковою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дисципл</w:t>
            </w:r>
            <w:r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іною з спеціальності 051 “Економіка” для освітньої програми “Економічна кібернетика”, яка викладається в </w:t>
            </w:r>
            <w:r w:rsidR="00E84A9B"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A360D5"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семестрі в обсязі </w:t>
            </w:r>
            <w:r w:rsidR="004F63D4"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кредит</w:t>
            </w:r>
            <w:r w:rsidR="004F63D4"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  <w:p w14:paraId="6991D3D1" w14:textId="59916E2A" w:rsidR="001A4742" w:rsidRPr="00E84A9B" w:rsidRDefault="001A4742" w:rsidP="00336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A1082" w:rsidRPr="009D060A" w14:paraId="04415B7B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4F5E" w14:textId="77777777" w:rsidR="009A1082" w:rsidRPr="009D060A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0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9DC9" w14:textId="43C43C81" w:rsidR="009D060A" w:rsidRPr="009D060A" w:rsidRDefault="00E53509" w:rsidP="009D0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60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Метою викладання навчальної дисципліни </w:t>
            </w:r>
            <w:r w:rsidRPr="009D060A">
              <w:rPr>
                <w:rFonts w:ascii="Times New Roman" w:hAnsi="Times New Roman"/>
                <w:sz w:val="24"/>
                <w:szCs w:val="24"/>
              </w:rPr>
              <w:t>«</w:t>
            </w:r>
            <w:r w:rsidR="009D060A" w:rsidRPr="009D060A">
              <w:rPr>
                <w:rFonts w:ascii="Times New Roman" w:hAnsi="Times New Roman"/>
                <w:sz w:val="24"/>
                <w:szCs w:val="24"/>
              </w:rPr>
              <w:t>Основи управлінського аналізу</w:t>
            </w:r>
            <w:r w:rsidR="009D060A" w:rsidRPr="009D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є формування у студентів теоретичних знань, практичних навичок щодо </w:t>
            </w:r>
            <w:r w:rsidR="009D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здійснення аналізу підприємницької діяльності та </w:t>
            </w:r>
            <w:r w:rsidR="009D060A" w:rsidRPr="009D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прийняття управлінських рішень. Оволодіння студентами основами пошуку, розроблення та ухвалення управлінських рішень. Ознайомлення із можливостями та способами використання типових систем підтримки прийняття рішень.</w:t>
            </w:r>
          </w:p>
          <w:p w14:paraId="0F5E5E54" w14:textId="13F017EF" w:rsidR="001A4742" w:rsidRPr="009D060A" w:rsidRDefault="009D060A" w:rsidP="009D0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0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Цілі курсу: засвоєння методів та засобів та інструментів з допомогою яких в сучасних умовах проводиться управлінський аналіз, пошук, формування та прийняття управлінських рішень</w:t>
            </w:r>
            <w:r w:rsidRPr="009D06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7F3A8D08" w14:textId="7EDD6AFD" w:rsidR="009D060A" w:rsidRPr="009D060A" w:rsidRDefault="009D060A" w:rsidP="009D0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DE4BF4" w14:paraId="6C0BDECE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338E" w14:textId="77777777" w:rsidR="009A1082" w:rsidRPr="00DE4BF4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B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729E" w14:textId="77777777" w:rsidR="00DE4BF4" w:rsidRPr="00DE4BF4" w:rsidRDefault="00DE4BF4" w:rsidP="00DE4BF4">
            <w:pPr>
              <w:numPr>
                <w:ilvl w:val="0"/>
                <w:numId w:val="16"/>
              </w:numPr>
              <w:tabs>
                <w:tab w:val="left" w:pos="443"/>
                <w:tab w:val="left" w:pos="851"/>
              </w:tabs>
              <w:spacing w:after="0" w:line="240" w:lineRule="auto"/>
              <w:ind w:left="119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E4B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Баранкевич</w:t>
            </w:r>
            <w:proofErr w:type="spellEnd"/>
            <w:r w:rsidRPr="00DE4B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М.М. Елементи теорії прийняття рішень / М.М, </w:t>
            </w:r>
            <w:proofErr w:type="spellStart"/>
            <w:r w:rsidRPr="00DE4B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Баранкевич</w:t>
            </w:r>
            <w:proofErr w:type="spellEnd"/>
            <w:r w:rsidRPr="00DE4B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Львів: Видавничий центр ЛНУ імені Івана Франка, 1999. – 20с.</w:t>
            </w:r>
          </w:p>
          <w:p w14:paraId="4248C661" w14:textId="77777777" w:rsidR="00DE4BF4" w:rsidRPr="00DE4BF4" w:rsidRDefault="00DE4BF4" w:rsidP="00DE4BF4">
            <w:pPr>
              <w:numPr>
                <w:ilvl w:val="0"/>
                <w:numId w:val="16"/>
              </w:numPr>
              <w:tabs>
                <w:tab w:val="left" w:pos="443"/>
                <w:tab w:val="left" w:pos="851"/>
              </w:tabs>
              <w:spacing w:after="0" w:line="240" w:lineRule="auto"/>
              <w:ind w:left="119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4B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Ситник В.Ф. Системи підтримки прийняття рішень. Навчальний посібник / В.Ф. Ситник. – КНЕУ Київ, 2004. – 613с.</w:t>
            </w:r>
          </w:p>
          <w:p w14:paraId="7CEF4CCE" w14:textId="77777777" w:rsidR="00DE4BF4" w:rsidRPr="00DE4BF4" w:rsidRDefault="00DE4BF4" w:rsidP="00DE4BF4">
            <w:pPr>
              <w:numPr>
                <w:ilvl w:val="0"/>
                <w:numId w:val="16"/>
              </w:numPr>
              <w:tabs>
                <w:tab w:val="left" w:pos="443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19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uk-UA"/>
              </w:rPr>
            </w:pPr>
            <w:proofErr w:type="spellStart"/>
            <w:r w:rsidRPr="00DE4BF4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Ус</w:t>
            </w:r>
            <w:proofErr w:type="spellEnd"/>
            <w:r w:rsidRPr="00DE4BF4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С.А. </w:t>
            </w:r>
            <w:r w:rsidRPr="00DE4BF4">
              <w:rPr>
                <w:rFonts w:ascii="Times New Roman" w:eastAsia="TimesNewRomanPSMT" w:hAnsi="Times New Roman"/>
                <w:sz w:val="24"/>
                <w:szCs w:val="24"/>
                <w:lang w:eastAsia="uk-UA"/>
              </w:rPr>
              <w:t xml:space="preserve">Моделі й методи прийняття рішень: </w:t>
            </w:r>
            <w:proofErr w:type="spellStart"/>
            <w:r w:rsidRPr="00DE4BF4">
              <w:rPr>
                <w:rFonts w:ascii="Times New Roman" w:eastAsia="TimesNewRomanPSMT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DE4BF4">
              <w:rPr>
                <w:rFonts w:ascii="Times New Roman" w:eastAsia="TimesNewRomanPSMT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E4BF4">
              <w:rPr>
                <w:rFonts w:ascii="Times New Roman" w:eastAsia="TimesNewRomanPSMT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DE4BF4">
              <w:rPr>
                <w:rFonts w:ascii="Times New Roman" w:eastAsia="TimesNewRomanPSMT" w:hAnsi="Times New Roman"/>
                <w:sz w:val="24"/>
                <w:szCs w:val="24"/>
                <w:lang w:eastAsia="uk-UA"/>
              </w:rPr>
              <w:t xml:space="preserve">. / С.А. </w:t>
            </w:r>
            <w:proofErr w:type="spellStart"/>
            <w:r w:rsidRPr="00DE4BF4">
              <w:rPr>
                <w:rFonts w:ascii="Times New Roman" w:eastAsia="TimesNewRomanPSMT" w:hAnsi="Times New Roman"/>
                <w:sz w:val="24"/>
                <w:szCs w:val="24"/>
                <w:lang w:eastAsia="uk-UA"/>
              </w:rPr>
              <w:t>Ус</w:t>
            </w:r>
            <w:proofErr w:type="spellEnd"/>
            <w:r w:rsidRPr="00DE4BF4">
              <w:rPr>
                <w:rFonts w:ascii="Times New Roman" w:eastAsia="TimesNewRomanPSMT" w:hAnsi="Times New Roman"/>
                <w:sz w:val="24"/>
                <w:szCs w:val="24"/>
                <w:lang w:eastAsia="uk-UA"/>
              </w:rPr>
              <w:t xml:space="preserve">, Л.С. </w:t>
            </w:r>
            <w:proofErr w:type="spellStart"/>
            <w:r w:rsidRPr="00DE4BF4">
              <w:rPr>
                <w:rFonts w:ascii="Times New Roman" w:eastAsia="TimesNewRomanPSMT" w:hAnsi="Times New Roman"/>
                <w:sz w:val="24"/>
                <w:szCs w:val="24"/>
                <w:lang w:eastAsia="uk-UA"/>
              </w:rPr>
              <w:t>Коряшкіна</w:t>
            </w:r>
            <w:proofErr w:type="spellEnd"/>
            <w:r w:rsidRPr="00DE4BF4">
              <w:rPr>
                <w:rFonts w:ascii="Times New Roman" w:eastAsia="TimesNewRomanPSMT" w:hAnsi="Times New Roman"/>
                <w:sz w:val="24"/>
                <w:szCs w:val="24"/>
                <w:lang w:eastAsia="uk-UA"/>
              </w:rPr>
              <w:t xml:space="preserve">; М-во освіти і науки України, </w:t>
            </w:r>
            <w:proofErr w:type="spellStart"/>
            <w:r w:rsidRPr="00DE4BF4">
              <w:rPr>
                <w:rFonts w:ascii="Times New Roman" w:eastAsia="TimesNewRomanPSMT" w:hAnsi="Times New Roman"/>
                <w:sz w:val="24"/>
                <w:szCs w:val="24"/>
                <w:lang w:eastAsia="uk-UA"/>
              </w:rPr>
              <w:t>Нац</w:t>
            </w:r>
            <w:proofErr w:type="spellEnd"/>
            <w:r w:rsidRPr="00DE4BF4">
              <w:rPr>
                <w:rFonts w:ascii="Times New Roman" w:eastAsia="TimesNewRomanPSMT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E4BF4">
              <w:rPr>
                <w:rFonts w:ascii="Times New Roman" w:eastAsia="TimesNewRomanPSMT" w:hAnsi="Times New Roman"/>
                <w:sz w:val="24"/>
                <w:szCs w:val="24"/>
                <w:lang w:eastAsia="uk-UA"/>
              </w:rPr>
              <w:t>гірн</w:t>
            </w:r>
            <w:proofErr w:type="spellEnd"/>
            <w:r w:rsidRPr="00DE4BF4">
              <w:rPr>
                <w:rFonts w:ascii="Times New Roman" w:eastAsia="TimesNewRomanPSMT" w:hAnsi="Times New Roman"/>
                <w:sz w:val="24"/>
                <w:szCs w:val="24"/>
                <w:lang w:eastAsia="uk-UA"/>
              </w:rPr>
              <w:t>. ун-т. – Д. : НГУ, 2014. – 300 с.</w:t>
            </w:r>
          </w:p>
          <w:p w14:paraId="03626550" w14:textId="77777777" w:rsidR="00DE4BF4" w:rsidRPr="00DE4BF4" w:rsidRDefault="00DE4BF4" w:rsidP="00DE4BF4">
            <w:pPr>
              <w:numPr>
                <w:ilvl w:val="0"/>
                <w:numId w:val="16"/>
              </w:numPr>
              <w:tabs>
                <w:tab w:val="left" w:pos="443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19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4B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Методи та системи підтримки прийняття рішень в управлінні еколого-економічними процесами підприємств : навчальний посібник / Пономаренко В. С., Павленко Л. А., </w:t>
            </w:r>
            <w:proofErr w:type="spellStart"/>
            <w:r w:rsidRPr="00DE4B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Беседовський</w:t>
            </w:r>
            <w:proofErr w:type="spellEnd"/>
            <w:r w:rsidRPr="00DE4B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М. та ін. – Х. : Вид. ХНЕУ, 2012. – 272 с.</w:t>
            </w:r>
          </w:p>
          <w:p w14:paraId="70D565E2" w14:textId="77777777" w:rsidR="00DE4BF4" w:rsidRPr="00DE4BF4" w:rsidRDefault="00DE4BF4" w:rsidP="00DE4BF4">
            <w:pPr>
              <w:numPr>
                <w:ilvl w:val="0"/>
                <w:numId w:val="16"/>
              </w:numPr>
              <w:tabs>
                <w:tab w:val="left" w:pos="443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19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E4B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Бабаєв</w:t>
            </w:r>
            <w:proofErr w:type="spellEnd"/>
            <w:r w:rsidRPr="00DE4B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</w:t>
            </w:r>
            <w:r w:rsidRPr="00DE4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.</w:t>
            </w:r>
            <w:r w:rsidRPr="00DE4B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</w:t>
            </w:r>
            <w:r w:rsidRPr="00DE4B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.. </w:t>
            </w:r>
            <w:r w:rsidRPr="00DE4B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Прийняття рішень: Конспект лекцій для студентів спеціальності 7.000003 – «Управління проектами». – Харків: ХНАМГ, 2007. – 185 с.</w:t>
            </w:r>
          </w:p>
          <w:p w14:paraId="45B2754E" w14:textId="77777777" w:rsidR="00DE4BF4" w:rsidRPr="00DE4BF4" w:rsidRDefault="00DE4BF4" w:rsidP="00DE4BF4">
            <w:pPr>
              <w:numPr>
                <w:ilvl w:val="0"/>
                <w:numId w:val="16"/>
              </w:numPr>
              <w:tabs>
                <w:tab w:val="left" w:pos="443"/>
              </w:tabs>
              <w:spacing w:after="0" w:line="240" w:lineRule="auto"/>
              <w:ind w:left="1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F4">
              <w:rPr>
                <w:rFonts w:ascii="Times New Roman" w:hAnsi="Times New Roman"/>
                <w:sz w:val="24"/>
                <w:szCs w:val="24"/>
              </w:rPr>
              <w:t xml:space="preserve">Мних Є. В. Економічний аналіз : підручник. </w:t>
            </w:r>
            <w:r w:rsidRPr="00DE4B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– </w:t>
            </w:r>
            <w:r w:rsidRPr="00DE4BF4">
              <w:rPr>
                <w:rFonts w:ascii="Times New Roman" w:hAnsi="Times New Roman"/>
                <w:sz w:val="24"/>
                <w:szCs w:val="24"/>
              </w:rPr>
              <w:t xml:space="preserve">К.: Знання, 2011. </w:t>
            </w:r>
            <w:r w:rsidRPr="00DE4B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– </w:t>
            </w:r>
            <w:r w:rsidRPr="00DE4BF4">
              <w:rPr>
                <w:rFonts w:ascii="Times New Roman" w:hAnsi="Times New Roman"/>
                <w:sz w:val="24"/>
                <w:szCs w:val="24"/>
              </w:rPr>
              <w:t>630 c.</w:t>
            </w:r>
          </w:p>
          <w:p w14:paraId="6A4B01E2" w14:textId="77777777" w:rsidR="00DE4BF4" w:rsidRPr="00DE4BF4" w:rsidRDefault="00DE4BF4" w:rsidP="00DE4BF4">
            <w:pPr>
              <w:numPr>
                <w:ilvl w:val="0"/>
                <w:numId w:val="16"/>
              </w:numPr>
              <w:tabs>
                <w:tab w:val="left" w:pos="443"/>
              </w:tabs>
              <w:spacing w:after="0" w:line="240" w:lineRule="auto"/>
              <w:ind w:left="1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BF4">
              <w:rPr>
                <w:rFonts w:ascii="Times New Roman" w:hAnsi="Times New Roman"/>
                <w:sz w:val="24"/>
                <w:szCs w:val="24"/>
              </w:rPr>
              <w:t>Гайдаєнко</w:t>
            </w:r>
            <w:proofErr w:type="spellEnd"/>
            <w:r w:rsidRPr="00DE4BF4">
              <w:rPr>
                <w:rFonts w:ascii="Times New Roman" w:hAnsi="Times New Roman"/>
                <w:sz w:val="24"/>
                <w:szCs w:val="24"/>
              </w:rPr>
              <w:t xml:space="preserve"> О.М. Управлінський аналіз: </w:t>
            </w:r>
            <w:proofErr w:type="spellStart"/>
            <w:r w:rsidRPr="00DE4BF4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DE4BF4">
              <w:rPr>
                <w:rFonts w:ascii="Times New Roman" w:hAnsi="Times New Roman"/>
                <w:sz w:val="24"/>
                <w:szCs w:val="24"/>
              </w:rPr>
              <w:t xml:space="preserve">. посібник. / О.М. </w:t>
            </w:r>
            <w:proofErr w:type="spellStart"/>
            <w:r w:rsidRPr="00DE4BF4">
              <w:rPr>
                <w:rFonts w:ascii="Times New Roman" w:hAnsi="Times New Roman"/>
                <w:sz w:val="24"/>
                <w:szCs w:val="24"/>
              </w:rPr>
              <w:t>Гайдаєнко</w:t>
            </w:r>
            <w:proofErr w:type="spellEnd"/>
            <w:r w:rsidRPr="00DE4BF4">
              <w:rPr>
                <w:rFonts w:ascii="Times New Roman" w:hAnsi="Times New Roman"/>
                <w:sz w:val="24"/>
                <w:szCs w:val="24"/>
              </w:rPr>
              <w:t xml:space="preserve">, Н.С. Шевчук. </w:t>
            </w:r>
            <w:r w:rsidRPr="00DE4B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– </w:t>
            </w:r>
            <w:r w:rsidRPr="00DE4BF4">
              <w:rPr>
                <w:rFonts w:ascii="Times New Roman" w:hAnsi="Times New Roman"/>
                <w:sz w:val="24"/>
                <w:szCs w:val="24"/>
              </w:rPr>
              <w:t xml:space="preserve">Одеса, 2015. </w:t>
            </w:r>
            <w:r w:rsidRPr="00DE4B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– </w:t>
            </w:r>
            <w:r w:rsidRPr="00DE4BF4">
              <w:rPr>
                <w:rFonts w:ascii="Times New Roman" w:hAnsi="Times New Roman"/>
                <w:sz w:val="24"/>
                <w:szCs w:val="24"/>
              </w:rPr>
              <w:t>151с.</w:t>
            </w:r>
          </w:p>
          <w:p w14:paraId="3A73157B" w14:textId="257368AC" w:rsidR="009A1082" w:rsidRPr="00DE4BF4" w:rsidRDefault="009A1082" w:rsidP="00270E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84A9B" w14:paraId="5F30FB38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7DD9" w14:textId="77777777" w:rsidR="009A1082" w:rsidRPr="004F63D4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3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Тривалість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4A53" w14:textId="1F952057" w:rsidR="009A1082" w:rsidRPr="004F63D4" w:rsidRDefault="004F63D4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="00270EE2"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E018C4"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1082"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год.</w:t>
            </w:r>
          </w:p>
          <w:p w14:paraId="2AAD8E18" w14:textId="3627843E" w:rsidR="001A4742" w:rsidRPr="004F63D4" w:rsidRDefault="001A4742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84A9B" w14:paraId="779F5A5F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7EA3" w14:textId="77777777" w:rsidR="009A1082" w:rsidRPr="00E84A9B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304" w14:textId="0B52F31D" w:rsidR="009A1082" w:rsidRPr="00E84A9B" w:rsidRDefault="00F67F68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  <w:r w:rsidR="009A1082"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годин </w:t>
            </w:r>
            <w:r w:rsidR="009A1082"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аудиторних занять</w:t>
            </w:r>
            <w:r w:rsidR="00E018C4"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</w:t>
            </w:r>
            <w:r w:rsidR="009A1082"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них </w:t>
            </w:r>
            <w:r w:rsidR="00E84A9B"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32 </w:t>
            </w:r>
            <w:r w:rsidR="009A1082"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годин лекцій, </w:t>
            </w:r>
            <w:r w:rsidR="00E84A9B"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="009A1082"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годин </w:t>
            </w:r>
            <w:r w:rsidR="00E84A9B"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практичних</w:t>
            </w:r>
            <w:r w:rsidR="009A1082"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занять та </w:t>
            </w:r>
            <w:r w:rsidR="004F63D4"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C11977"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9A1082" w:rsidRPr="004F6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годин самостійної роботи</w:t>
            </w:r>
            <w:bookmarkStart w:id="0" w:name="_GoBack"/>
            <w:bookmarkEnd w:id="0"/>
          </w:p>
          <w:p w14:paraId="4761379D" w14:textId="2A78A50B" w:rsidR="001A4742" w:rsidRPr="00E84A9B" w:rsidRDefault="001A4742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A1082" w:rsidRPr="00E84A9B" w14:paraId="3E9018A7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F4A2" w14:textId="77777777" w:rsidR="009A1082" w:rsidRPr="007E4065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40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9FED" w14:textId="77777777" w:rsidR="009D1D2B" w:rsidRPr="007E4065" w:rsidRDefault="009D1D2B" w:rsidP="007E4065">
            <w:pPr>
              <w:tabs>
                <w:tab w:val="left" w:pos="12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результаті вивчення даної дисципліни студент повинен:</w:t>
            </w:r>
          </w:p>
          <w:p w14:paraId="0FC72472" w14:textId="77777777" w:rsidR="009D1D2B" w:rsidRPr="007E4065" w:rsidRDefault="009D1D2B" w:rsidP="007E4065">
            <w:pPr>
              <w:tabs>
                <w:tab w:val="left" w:pos="12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0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знати: </w:t>
            </w:r>
          </w:p>
          <w:p w14:paraId="52B65E5C" w14:textId="3913BA74" w:rsidR="007E4065" w:rsidRPr="007E4065" w:rsidRDefault="007E4065" w:rsidP="007E4065">
            <w:pPr>
              <w:pStyle w:val="a3"/>
              <w:numPr>
                <w:ilvl w:val="0"/>
                <w:numId w:val="15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закономірності функціонування і основні концепції управлінського аналізу на </w:t>
            </w:r>
            <w:proofErr w:type="spellStart"/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макро</w:t>
            </w:r>
            <w:proofErr w:type="spellEnd"/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 і мікрорівні;</w:t>
            </w:r>
          </w:p>
          <w:p w14:paraId="394ED70C" w14:textId="44E4CB0F" w:rsidR="007E4065" w:rsidRPr="007E4065" w:rsidRDefault="007E4065" w:rsidP="007E4065">
            <w:pPr>
              <w:pStyle w:val="a3"/>
              <w:numPr>
                <w:ilvl w:val="0"/>
                <w:numId w:val="15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основні результати новітніх досліджень, опубліковані в провідних фахових журналах з проблем управлінського аналізу діяльності підприємства;</w:t>
            </w:r>
          </w:p>
          <w:p w14:paraId="209CC938" w14:textId="184ECCE7" w:rsidR="007E4065" w:rsidRPr="007E4065" w:rsidRDefault="007E4065" w:rsidP="007E4065">
            <w:pPr>
              <w:pStyle w:val="a3"/>
              <w:numPr>
                <w:ilvl w:val="0"/>
                <w:numId w:val="15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сучасні методи економічного та управлінського аналізу;</w:t>
            </w:r>
          </w:p>
          <w:p w14:paraId="39E0255D" w14:textId="22177437" w:rsidR="007E4065" w:rsidRPr="007E4065" w:rsidRDefault="007E4065" w:rsidP="007E4065">
            <w:pPr>
              <w:pStyle w:val="a3"/>
              <w:numPr>
                <w:ilvl w:val="0"/>
                <w:numId w:val="15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сучасні програмні продукти, необхідні для вирішення завдань управлінського аналізу діяльності підприємства;</w:t>
            </w:r>
          </w:p>
          <w:p w14:paraId="67062737" w14:textId="78D22197" w:rsidR="007E4065" w:rsidRPr="007E4065" w:rsidRDefault="007E4065" w:rsidP="007E4065">
            <w:pPr>
              <w:pStyle w:val="a3"/>
              <w:numPr>
                <w:ilvl w:val="0"/>
                <w:numId w:val="15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напрями використання результатів управлінського аналізу в бізнес-плануванні та управлінні організацією;</w:t>
            </w:r>
          </w:p>
          <w:p w14:paraId="66512CFC" w14:textId="77777777" w:rsidR="007E4065" w:rsidRPr="007E4065" w:rsidRDefault="007E4065" w:rsidP="007E4065">
            <w:pPr>
              <w:pStyle w:val="a3"/>
              <w:numPr>
                <w:ilvl w:val="0"/>
                <w:numId w:val="15"/>
              </w:numPr>
              <w:tabs>
                <w:tab w:val="left" w:pos="21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теоретичні засади прийняття рішень;</w:t>
            </w:r>
          </w:p>
          <w:p w14:paraId="5337AAC5" w14:textId="77777777" w:rsidR="007E4065" w:rsidRPr="007E4065" w:rsidRDefault="007E4065" w:rsidP="007E4065">
            <w:pPr>
              <w:pStyle w:val="a3"/>
              <w:numPr>
                <w:ilvl w:val="0"/>
                <w:numId w:val="15"/>
              </w:numPr>
              <w:tabs>
                <w:tab w:val="left" w:pos="21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загальну методологію процесу пошуку рішення;</w:t>
            </w:r>
          </w:p>
          <w:p w14:paraId="199F1EA3" w14:textId="77777777" w:rsidR="007E4065" w:rsidRPr="007E4065" w:rsidRDefault="007E4065" w:rsidP="007E4065">
            <w:pPr>
              <w:pStyle w:val="a3"/>
              <w:numPr>
                <w:ilvl w:val="0"/>
                <w:numId w:val="15"/>
              </w:numPr>
              <w:tabs>
                <w:tab w:val="left" w:pos="21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формальні методи і процедури формування управлінських рішень;</w:t>
            </w:r>
          </w:p>
          <w:p w14:paraId="40CAFA46" w14:textId="75FF2B1E" w:rsidR="007E4065" w:rsidRPr="007E4065" w:rsidRDefault="007E4065" w:rsidP="008A3F73">
            <w:pPr>
              <w:pStyle w:val="a3"/>
              <w:numPr>
                <w:ilvl w:val="0"/>
                <w:numId w:val="15"/>
              </w:numPr>
              <w:tabs>
                <w:tab w:val="left" w:pos="21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сучасні інформаційні технології пошуку та формування рішень.</w:t>
            </w:r>
          </w:p>
          <w:p w14:paraId="13CCA468" w14:textId="77777777" w:rsidR="009D1D2B" w:rsidRPr="007E4065" w:rsidRDefault="009D1D2B" w:rsidP="007E4065">
            <w:pPr>
              <w:tabs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0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вміти:</w:t>
            </w: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981F59C" w14:textId="431F94BD" w:rsidR="007E4065" w:rsidRPr="007E4065" w:rsidRDefault="007E4065" w:rsidP="007E4065">
            <w:pPr>
              <w:pStyle w:val="a3"/>
              <w:numPr>
                <w:ilvl w:val="0"/>
                <w:numId w:val="14"/>
              </w:numPr>
              <w:tabs>
                <w:tab w:val="left" w:pos="1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самостійно критично оцінити отримані знання, свої переваги і недоліки і на цій основі удосконалювати і розвивати свій інтелектуальний і загальнокультурний рівень; </w:t>
            </w:r>
          </w:p>
          <w:p w14:paraId="39B8421B" w14:textId="572B0B3B" w:rsidR="007E4065" w:rsidRPr="007E4065" w:rsidRDefault="007E4065" w:rsidP="007E4065">
            <w:pPr>
              <w:pStyle w:val="a3"/>
              <w:numPr>
                <w:ilvl w:val="0"/>
                <w:numId w:val="14"/>
              </w:numPr>
              <w:tabs>
                <w:tab w:val="left" w:pos="1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готувати аналітичні матеріали для оцінки заходів в області економічної політики і прийняття стратегічних рішень на мікро- і макрорівні; </w:t>
            </w:r>
          </w:p>
          <w:p w14:paraId="6CCCD6E1" w14:textId="79449592" w:rsidR="007E4065" w:rsidRPr="007E4065" w:rsidRDefault="007E4065" w:rsidP="007E4065">
            <w:pPr>
              <w:pStyle w:val="a3"/>
              <w:numPr>
                <w:ilvl w:val="0"/>
                <w:numId w:val="14"/>
              </w:numPr>
              <w:tabs>
                <w:tab w:val="left" w:pos="1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аналізувати і використовувати різні джерела інформації для проведення аналітичних розрахунків; </w:t>
            </w:r>
          </w:p>
          <w:p w14:paraId="095C641C" w14:textId="5EEAB908" w:rsidR="007E4065" w:rsidRPr="007E4065" w:rsidRDefault="007E4065" w:rsidP="007E4065">
            <w:pPr>
              <w:pStyle w:val="a3"/>
              <w:numPr>
                <w:ilvl w:val="0"/>
                <w:numId w:val="14"/>
              </w:numPr>
              <w:tabs>
                <w:tab w:val="left" w:pos="1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складати прогноз основних стратегічних і тактичних показників діяльності підприємства, галузі, регіону; </w:t>
            </w:r>
          </w:p>
          <w:p w14:paraId="38794F14" w14:textId="6086C48B" w:rsidR="007E4065" w:rsidRPr="007E4065" w:rsidRDefault="007E4065" w:rsidP="007E4065">
            <w:pPr>
              <w:pStyle w:val="a3"/>
              <w:numPr>
                <w:ilvl w:val="0"/>
                <w:numId w:val="14"/>
              </w:numPr>
              <w:tabs>
                <w:tab w:val="left" w:pos="1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застосовувати сучасний математичний інструментарій для вирішення змістовних аналітичних завдань; </w:t>
            </w:r>
          </w:p>
          <w:p w14:paraId="20DB81FE" w14:textId="7D992D49" w:rsidR="007E4065" w:rsidRPr="007E4065" w:rsidRDefault="007E4065" w:rsidP="007E4065">
            <w:pPr>
              <w:pStyle w:val="a3"/>
              <w:numPr>
                <w:ilvl w:val="0"/>
                <w:numId w:val="14"/>
              </w:numPr>
              <w:tabs>
                <w:tab w:val="left" w:pos="1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використовувати сучасне програмне забезпечення для вирішення стратегічних аналітичних завдань; </w:t>
            </w:r>
          </w:p>
          <w:p w14:paraId="2016AAF1" w14:textId="474E4C13" w:rsidR="007E4065" w:rsidRPr="007E4065" w:rsidRDefault="007E4065" w:rsidP="007E4065">
            <w:pPr>
              <w:pStyle w:val="a3"/>
              <w:numPr>
                <w:ilvl w:val="0"/>
                <w:numId w:val="14"/>
              </w:numPr>
              <w:tabs>
                <w:tab w:val="left" w:pos="1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керувати економічними службами і підрозділами на підприємствах і організаціях різних форм власності, в органах державної і муніципальної влади; </w:t>
            </w:r>
          </w:p>
          <w:p w14:paraId="00EEC4C2" w14:textId="4293E40F" w:rsidR="001A4742" w:rsidRPr="007E4065" w:rsidRDefault="007E4065" w:rsidP="007E4065">
            <w:pPr>
              <w:pStyle w:val="a3"/>
              <w:numPr>
                <w:ilvl w:val="0"/>
                <w:numId w:val="14"/>
              </w:numPr>
              <w:tabs>
                <w:tab w:val="left" w:pos="12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розробляти варіанти управлінських рішень і обґрунтовувати їх вибір на основі критеріїв соціально-економічної ефективності;</w:t>
            </w:r>
          </w:p>
          <w:p w14:paraId="56CA8B23" w14:textId="77777777" w:rsidR="007E4065" w:rsidRPr="007E4065" w:rsidRDefault="007E4065" w:rsidP="007E4065">
            <w:pPr>
              <w:pStyle w:val="a3"/>
              <w:numPr>
                <w:ilvl w:val="0"/>
                <w:numId w:val="14"/>
              </w:numPr>
              <w:tabs>
                <w:tab w:val="left" w:pos="12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використовувати методи ТПР для знаходження ефективних рішень;</w:t>
            </w:r>
          </w:p>
          <w:p w14:paraId="3348A318" w14:textId="77777777" w:rsidR="007E4065" w:rsidRPr="007E4065" w:rsidRDefault="007E4065" w:rsidP="007E4065">
            <w:pPr>
              <w:pStyle w:val="a3"/>
              <w:numPr>
                <w:ilvl w:val="0"/>
                <w:numId w:val="14"/>
              </w:numPr>
              <w:tabs>
                <w:tab w:val="left" w:pos="12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використовувати сучасні методи аналізу проблем;</w:t>
            </w:r>
          </w:p>
          <w:p w14:paraId="04A5A058" w14:textId="77777777" w:rsidR="007E4065" w:rsidRPr="007E4065" w:rsidRDefault="007E4065" w:rsidP="007E4065">
            <w:pPr>
              <w:pStyle w:val="a3"/>
              <w:numPr>
                <w:ilvl w:val="0"/>
                <w:numId w:val="14"/>
              </w:numPr>
              <w:tabs>
                <w:tab w:val="left" w:pos="12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E406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формалізувати задачі, які виникають перед ОПР;</w:t>
            </w:r>
          </w:p>
          <w:p w14:paraId="62FEFAED" w14:textId="25BAE7EC" w:rsidR="007E4065" w:rsidRPr="00E31A2B" w:rsidRDefault="007E4065" w:rsidP="00272CCC">
            <w:pPr>
              <w:pStyle w:val="a3"/>
              <w:numPr>
                <w:ilvl w:val="0"/>
                <w:numId w:val="14"/>
              </w:numPr>
              <w:tabs>
                <w:tab w:val="left" w:pos="12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31A2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застосовувати математичні методи і моделі для розроблення управлінських рішень.</w:t>
            </w:r>
          </w:p>
          <w:p w14:paraId="5AEFDA21" w14:textId="20A8A5D6" w:rsidR="007E4065" w:rsidRPr="007E4065" w:rsidRDefault="007E4065" w:rsidP="007E4065">
            <w:pPr>
              <w:tabs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A1082" w:rsidRPr="00E31A2B" w14:paraId="35CE416F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9F07" w14:textId="7E231E96" w:rsidR="009A1082" w:rsidRPr="00E31A2B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A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355E" w14:textId="16530B19" w:rsidR="009A1082" w:rsidRPr="00E31A2B" w:rsidRDefault="00E31A2B" w:rsidP="001A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A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Управлінський аналіз, ефективність ресурсу, прийняття управлінських рішень, стратегічне планування, експертні системи.</w:t>
            </w:r>
          </w:p>
          <w:p w14:paraId="00F799A7" w14:textId="1E3A83BB" w:rsidR="001A4742" w:rsidRPr="00E31A2B" w:rsidRDefault="001A4742" w:rsidP="001A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84A9B" w14:paraId="2EB3266E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07C8" w14:textId="1B89BADD" w:rsidR="009A1082" w:rsidRPr="00E84A9B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0275" w14:textId="1D531A79" w:rsidR="009A1082" w:rsidRPr="00E84A9B" w:rsidRDefault="00F67F68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Очний/заочний</w:t>
            </w:r>
          </w:p>
          <w:p w14:paraId="56845B65" w14:textId="4A9E597C" w:rsidR="001A4742" w:rsidRPr="00E84A9B" w:rsidRDefault="001A4742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84A9B" w14:paraId="21CB2E0D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23A7" w14:textId="77777777" w:rsidR="009A1082" w:rsidRPr="00E84A9B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1BE6" w14:textId="77777777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Проведення лекцій, лабораторних робіт та консультації для кращого розуміння тем</w:t>
            </w:r>
          </w:p>
          <w:p w14:paraId="17228168" w14:textId="77777777" w:rsidR="001A4742" w:rsidRPr="00E84A9B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84A9B" w14:paraId="33C96BBB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27634" w14:textId="77777777" w:rsidR="009A1082" w:rsidRPr="00E5172D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17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2F54" w14:textId="3966B8EB" w:rsidR="00E5172D" w:rsidRPr="00E5172D" w:rsidRDefault="00E5172D" w:rsidP="00E5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7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Змістов</w:t>
            </w:r>
            <w:r w:rsidR="006851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</w:t>
            </w:r>
            <w:r w:rsidRPr="00E5172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ий модуль 1. </w:t>
            </w:r>
            <w:r w:rsidRPr="00E5172D">
              <w:rPr>
                <w:rFonts w:ascii="Times New Roman" w:hAnsi="Times New Roman"/>
                <w:sz w:val="24"/>
                <w:szCs w:val="24"/>
              </w:rPr>
              <w:t>Основи теорії управлінського аналізу</w:t>
            </w:r>
          </w:p>
          <w:p w14:paraId="5EA49064" w14:textId="77777777" w:rsidR="00E5172D" w:rsidRPr="00E5172D" w:rsidRDefault="00E5172D" w:rsidP="00E5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72D">
              <w:rPr>
                <w:rFonts w:ascii="Times New Roman" w:hAnsi="Times New Roman"/>
                <w:sz w:val="24"/>
                <w:szCs w:val="24"/>
              </w:rPr>
              <w:t>Тема 1. Роль і місце управлінського аналізу в системі управління підприємством</w:t>
            </w:r>
          </w:p>
          <w:p w14:paraId="6A44353A" w14:textId="77777777" w:rsidR="00E5172D" w:rsidRPr="00E5172D" w:rsidRDefault="00E5172D" w:rsidP="00E5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72D">
              <w:rPr>
                <w:rFonts w:ascii="Times New Roman" w:hAnsi="Times New Roman"/>
                <w:sz w:val="24"/>
                <w:szCs w:val="24"/>
              </w:rPr>
              <w:t>Тема 2. Методологічна основа управлінського аналізу</w:t>
            </w:r>
          </w:p>
          <w:p w14:paraId="55BAD74C" w14:textId="77777777" w:rsidR="00E5172D" w:rsidRPr="00E5172D" w:rsidRDefault="00E5172D" w:rsidP="00E5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72D">
              <w:rPr>
                <w:rFonts w:ascii="Times New Roman" w:hAnsi="Times New Roman"/>
                <w:sz w:val="24"/>
                <w:szCs w:val="24"/>
              </w:rPr>
              <w:t>Тема 3. Стратегічний управлінський аналіз</w:t>
            </w:r>
          </w:p>
          <w:p w14:paraId="7BE267A8" w14:textId="77777777" w:rsidR="00E5172D" w:rsidRPr="00E5172D" w:rsidRDefault="00E5172D" w:rsidP="00E5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72D">
              <w:rPr>
                <w:rFonts w:ascii="Times New Roman" w:hAnsi="Times New Roman"/>
                <w:sz w:val="24"/>
                <w:szCs w:val="24"/>
              </w:rPr>
              <w:t>Тема 4. Аналіз в системі бізнес-планування</w:t>
            </w:r>
          </w:p>
          <w:p w14:paraId="37AF8B32" w14:textId="77777777" w:rsidR="00E5172D" w:rsidRPr="00E5172D" w:rsidRDefault="00E5172D" w:rsidP="00E5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72D">
              <w:rPr>
                <w:rFonts w:ascii="Times New Roman" w:hAnsi="Times New Roman"/>
                <w:sz w:val="24"/>
                <w:szCs w:val="24"/>
              </w:rPr>
              <w:t xml:space="preserve">Тема 5. Аналіз зовнішнього середовища </w:t>
            </w:r>
          </w:p>
          <w:p w14:paraId="647BDE0B" w14:textId="77777777" w:rsidR="00E5172D" w:rsidRPr="00E5172D" w:rsidRDefault="00E5172D" w:rsidP="00E5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72D">
              <w:rPr>
                <w:rFonts w:ascii="Times New Roman" w:hAnsi="Times New Roman"/>
                <w:sz w:val="24"/>
                <w:szCs w:val="24"/>
              </w:rPr>
              <w:t>Тема 6. Аналіз ефективності використання ресурсів</w:t>
            </w:r>
          </w:p>
          <w:p w14:paraId="7F0246E0" w14:textId="77777777" w:rsidR="00E5172D" w:rsidRPr="00E5172D" w:rsidRDefault="00E5172D" w:rsidP="00E5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72D">
              <w:rPr>
                <w:rFonts w:ascii="Times New Roman" w:hAnsi="Times New Roman"/>
                <w:sz w:val="24"/>
                <w:szCs w:val="24"/>
              </w:rPr>
              <w:t>Тема 7. Аналіз фінансових результатів</w:t>
            </w:r>
          </w:p>
          <w:p w14:paraId="28396D0C" w14:textId="77777777" w:rsidR="00E5172D" w:rsidRPr="00E5172D" w:rsidRDefault="00E5172D" w:rsidP="00E5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65FB62" w14:textId="609B1AF9" w:rsidR="00E5172D" w:rsidRPr="00E5172D" w:rsidRDefault="00E5172D" w:rsidP="00E5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Змістов</w:t>
            </w:r>
            <w:r w:rsidR="00685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85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модуль 2. </w:t>
            </w:r>
            <w:r w:rsidRPr="00E5172D">
              <w:rPr>
                <w:rFonts w:ascii="Times New Roman" w:hAnsi="Times New Roman"/>
                <w:sz w:val="24"/>
                <w:szCs w:val="24"/>
              </w:rPr>
              <w:t>Основи теорії прийняття управлінських рішень</w:t>
            </w:r>
          </w:p>
          <w:p w14:paraId="0469A9C2" w14:textId="77777777" w:rsidR="00E5172D" w:rsidRPr="00E5172D" w:rsidRDefault="00E5172D" w:rsidP="00E5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72D">
              <w:rPr>
                <w:rFonts w:ascii="Times New Roman" w:hAnsi="Times New Roman"/>
                <w:sz w:val="24"/>
                <w:szCs w:val="24"/>
              </w:rPr>
              <w:lastRenderedPageBreak/>
              <w:t>Тема 8. Основні поняття теорії прийняття управлінських рішень</w:t>
            </w:r>
          </w:p>
          <w:p w14:paraId="64A23212" w14:textId="77777777" w:rsidR="00E5172D" w:rsidRPr="00E5172D" w:rsidRDefault="00E5172D" w:rsidP="00E5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72D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Pr="00E5172D">
              <w:rPr>
                <w:rFonts w:ascii="Times New Roman" w:hAnsi="Times New Roman"/>
                <w:bCs/>
                <w:sz w:val="24"/>
                <w:szCs w:val="24"/>
              </w:rPr>
              <w:t xml:space="preserve"> Методи прийняття рішень за умов </w:t>
            </w:r>
            <w:proofErr w:type="spellStart"/>
            <w:r w:rsidRPr="00E5172D">
              <w:rPr>
                <w:rFonts w:ascii="Times New Roman" w:hAnsi="Times New Roman"/>
                <w:bCs/>
                <w:sz w:val="24"/>
                <w:szCs w:val="24"/>
              </w:rPr>
              <w:t>багатокритеріальності</w:t>
            </w:r>
            <w:proofErr w:type="spellEnd"/>
          </w:p>
          <w:p w14:paraId="3D67B807" w14:textId="77777777" w:rsidR="00E5172D" w:rsidRPr="00E5172D" w:rsidRDefault="00E5172D" w:rsidP="00E5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72D">
              <w:rPr>
                <w:rFonts w:ascii="Times New Roman" w:hAnsi="Times New Roman"/>
                <w:sz w:val="24"/>
                <w:szCs w:val="24"/>
              </w:rPr>
              <w:t>Тема 10. Методи прийняття управлінських рішень в умовах невизначеності</w:t>
            </w:r>
          </w:p>
          <w:p w14:paraId="4F0BB610" w14:textId="77777777" w:rsidR="00E5172D" w:rsidRPr="00E5172D" w:rsidRDefault="00E5172D" w:rsidP="00E5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72D">
              <w:rPr>
                <w:rFonts w:ascii="Times New Roman" w:hAnsi="Times New Roman"/>
                <w:sz w:val="24"/>
                <w:szCs w:val="24"/>
              </w:rPr>
              <w:t>Тема 11.</w:t>
            </w:r>
            <w:r w:rsidRPr="00E517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72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E5172D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>о</w:t>
            </w:r>
            <w:r w:rsidRPr="00E5172D">
              <w:rPr>
                <w:rFonts w:ascii="Times New Roman" w:hAnsi="Times New Roman"/>
                <w:sz w:val="24"/>
                <w:szCs w:val="24"/>
                <w:lang w:val="ru-RU"/>
              </w:rPr>
              <w:t>слі</w:t>
            </w:r>
            <w:r w:rsidRPr="00E5172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д</w:t>
            </w:r>
            <w:r w:rsidRPr="00E5172D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ж</w:t>
            </w:r>
            <w:r w:rsidRPr="00E5172D">
              <w:rPr>
                <w:rFonts w:ascii="Times New Roman" w:hAnsi="Times New Roman"/>
                <w:sz w:val="24"/>
                <w:szCs w:val="24"/>
                <w:lang w:val="ru-RU"/>
              </w:rPr>
              <w:t>ення</w:t>
            </w:r>
            <w:proofErr w:type="spellEnd"/>
            <w:r w:rsidRPr="00E517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72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E5172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E5172D">
              <w:rPr>
                <w:rFonts w:ascii="Times New Roman" w:hAnsi="Times New Roman"/>
                <w:sz w:val="24"/>
                <w:szCs w:val="24"/>
                <w:lang w:val="ru-RU"/>
              </w:rPr>
              <w:t>итеріїв</w:t>
            </w:r>
            <w:proofErr w:type="spellEnd"/>
            <w:r w:rsidRPr="00E5172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172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E5172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E5172D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E5172D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72D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прийн</w:t>
            </w:r>
            <w:r w:rsidRPr="00E5172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я</w:t>
            </w:r>
            <w:r w:rsidRPr="00E5172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E5172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</w:t>
            </w:r>
            <w:r w:rsidRPr="00E5172D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proofErr w:type="spellEnd"/>
            <w:r w:rsidRPr="00E5172D">
              <w:rPr>
                <w:rFonts w:ascii="Times New Roman" w:hAnsi="Times New Roman"/>
                <w:sz w:val="24"/>
                <w:szCs w:val="24"/>
              </w:rPr>
              <w:t xml:space="preserve"> управлінських </w:t>
            </w:r>
            <w:proofErr w:type="spellStart"/>
            <w:r w:rsidRPr="00E5172D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рі</w:t>
            </w:r>
            <w:r w:rsidRPr="00E5172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ш</w:t>
            </w:r>
            <w:r w:rsidRPr="00E5172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е</w:t>
            </w:r>
            <w:r w:rsidRPr="00E5172D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н</w:t>
            </w:r>
            <w:r w:rsidRPr="00E5172D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proofErr w:type="spellEnd"/>
            <w:r w:rsidRPr="00E5172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5172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5172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172D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>у</w:t>
            </w:r>
            <w:r w:rsidRPr="00E5172D">
              <w:rPr>
                <w:rFonts w:ascii="Times New Roman" w:hAnsi="Times New Roman"/>
                <w:sz w:val="24"/>
                <w:szCs w:val="24"/>
                <w:lang w:val="ru-RU"/>
              </w:rPr>
              <w:t>мо</w:t>
            </w:r>
            <w:r w:rsidRPr="00E5172D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в</w:t>
            </w:r>
            <w:r w:rsidRPr="00E5172D"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  <w:r w:rsidRPr="00E5172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72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E5172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E5172D">
              <w:rPr>
                <w:rFonts w:ascii="Times New Roman" w:hAnsi="Times New Roman"/>
                <w:sz w:val="24"/>
                <w:szCs w:val="24"/>
                <w:lang w:val="ru-RU"/>
              </w:rPr>
              <w:t>зи</w:t>
            </w:r>
            <w:r w:rsidRPr="00E5172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ку</w:t>
            </w:r>
            <w:proofErr w:type="spellEnd"/>
          </w:p>
          <w:p w14:paraId="0F5475A2" w14:textId="77777777" w:rsidR="00E5172D" w:rsidRPr="00E5172D" w:rsidRDefault="00E5172D" w:rsidP="00E5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72D">
              <w:rPr>
                <w:rFonts w:ascii="Times New Roman" w:hAnsi="Times New Roman"/>
                <w:sz w:val="24"/>
                <w:szCs w:val="24"/>
              </w:rPr>
              <w:t>Тема 12. Зад</w:t>
            </w:r>
            <w:r w:rsidRPr="00E5172D">
              <w:rPr>
                <w:rFonts w:ascii="Times New Roman" w:hAnsi="Times New Roman"/>
                <w:spacing w:val="-12"/>
                <w:sz w:val="24"/>
                <w:szCs w:val="24"/>
              </w:rPr>
              <w:t>а</w:t>
            </w:r>
            <w:r w:rsidRPr="00E5172D">
              <w:rPr>
                <w:rFonts w:ascii="Times New Roman" w:hAnsi="Times New Roman"/>
                <w:sz w:val="24"/>
                <w:szCs w:val="24"/>
              </w:rPr>
              <w:t>чі п</w:t>
            </w:r>
            <w:r w:rsidRPr="00E5172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5172D">
              <w:rPr>
                <w:rFonts w:ascii="Times New Roman" w:hAnsi="Times New Roman"/>
                <w:sz w:val="24"/>
                <w:szCs w:val="24"/>
              </w:rPr>
              <w:t>ийнят</w:t>
            </w:r>
            <w:r w:rsidRPr="00E5172D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E5172D">
              <w:rPr>
                <w:rFonts w:ascii="Times New Roman" w:hAnsi="Times New Roman"/>
                <w:sz w:val="24"/>
                <w:szCs w:val="24"/>
              </w:rPr>
              <w:t>я рішень</w:t>
            </w:r>
            <w:r w:rsidRPr="00E517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5172D">
              <w:rPr>
                <w:rFonts w:ascii="Times New Roman" w:hAnsi="Times New Roman"/>
                <w:sz w:val="24"/>
                <w:szCs w:val="24"/>
              </w:rPr>
              <w:t>з ви</w:t>
            </w:r>
            <w:r w:rsidRPr="00E5172D">
              <w:rPr>
                <w:rFonts w:ascii="Times New Roman" w:hAnsi="Times New Roman"/>
                <w:spacing w:val="-14"/>
                <w:sz w:val="24"/>
                <w:szCs w:val="24"/>
              </w:rPr>
              <w:t>к</w:t>
            </w:r>
            <w:r w:rsidRPr="00E5172D">
              <w:rPr>
                <w:rFonts w:ascii="Times New Roman" w:hAnsi="Times New Roman"/>
                <w:sz w:val="24"/>
                <w:szCs w:val="24"/>
              </w:rPr>
              <w:t>орис</w:t>
            </w:r>
            <w:r w:rsidRPr="00E5172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5172D">
              <w:rPr>
                <w:rFonts w:ascii="Times New Roman" w:hAnsi="Times New Roman"/>
                <w:sz w:val="24"/>
                <w:szCs w:val="24"/>
              </w:rPr>
              <w:t xml:space="preserve">анням </w:t>
            </w:r>
            <w:r w:rsidRPr="00E5172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E5172D">
              <w:rPr>
                <w:rFonts w:ascii="Times New Roman" w:hAnsi="Times New Roman"/>
                <w:sz w:val="24"/>
                <w:szCs w:val="24"/>
              </w:rPr>
              <w:t>е</w:t>
            </w:r>
            <w:r w:rsidRPr="00E5172D">
              <w:rPr>
                <w:rFonts w:ascii="Times New Roman" w:hAnsi="Times New Roman"/>
                <w:spacing w:val="-5"/>
                <w:sz w:val="24"/>
                <w:szCs w:val="24"/>
              </w:rPr>
              <w:t>к</w:t>
            </w:r>
            <w:r w:rsidRPr="00E5172D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E5172D">
              <w:rPr>
                <w:rFonts w:ascii="Times New Roman" w:hAnsi="Times New Roman"/>
                <w:sz w:val="24"/>
                <w:szCs w:val="24"/>
              </w:rPr>
              <w:t>орних</w:t>
            </w:r>
            <w:r w:rsidRPr="00E5172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5172D">
              <w:rPr>
                <w:rFonts w:ascii="Times New Roman" w:hAnsi="Times New Roman"/>
                <w:sz w:val="24"/>
                <w:szCs w:val="24"/>
              </w:rPr>
              <w:t>критерії</w:t>
            </w:r>
            <w:r w:rsidRPr="00E5172D">
              <w:rPr>
                <w:rFonts w:ascii="Times New Roman" w:hAnsi="Times New Roman"/>
                <w:spacing w:val="6"/>
                <w:sz w:val="24"/>
                <w:szCs w:val="24"/>
              </w:rPr>
              <w:t>в</w:t>
            </w:r>
          </w:p>
          <w:p w14:paraId="363177F5" w14:textId="77777777" w:rsidR="00E5172D" w:rsidRPr="00E5172D" w:rsidRDefault="00E5172D" w:rsidP="00E5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72D">
              <w:rPr>
                <w:rFonts w:ascii="Times New Roman" w:hAnsi="Times New Roman"/>
                <w:sz w:val="24"/>
                <w:szCs w:val="24"/>
              </w:rPr>
              <w:t>Тема 13. Експертні системи прийняття управлінських рішень</w:t>
            </w:r>
          </w:p>
          <w:p w14:paraId="398B65B4" w14:textId="77777777" w:rsidR="009A1082" w:rsidRPr="00E5172D" w:rsidRDefault="009A1082" w:rsidP="00E51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84A9B" w14:paraId="3179E635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A765" w14:textId="77777777" w:rsidR="009A1082" w:rsidRPr="00E84A9B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ABF4" w14:textId="0E89CFB7" w:rsidR="009A1082" w:rsidRPr="00E84A9B" w:rsidRDefault="00E53509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залік</w:t>
            </w:r>
            <w:r w:rsidR="009A1082"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кінці семестру</w:t>
            </w:r>
          </w:p>
          <w:p w14:paraId="41C5EE6B" w14:textId="77777777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комбінований </w:t>
            </w:r>
          </w:p>
          <w:p w14:paraId="52917672" w14:textId="77777777" w:rsidR="001A4742" w:rsidRPr="00E84A9B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D060A" w14:paraId="78C05963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3D39" w14:textId="77777777" w:rsidR="009A1082" w:rsidRPr="009D060A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06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1EC8" w14:textId="1BB9DA37" w:rsidR="009A1082" w:rsidRPr="009D060A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06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9D060A" w:rsidRPr="009D060A">
              <w:rPr>
                <w:rFonts w:ascii="Times New Roman" w:hAnsi="Times New Roman"/>
                <w:sz w:val="24"/>
                <w:szCs w:val="24"/>
              </w:rPr>
              <w:t>мікро- та макроекономіки,</w:t>
            </w:r>
            <w:r w:rsidR="00B715B5" w:rsidRPr="009D06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математичної статистики, </w:t>
            </w:r>
            <w:r w:rsidR="009D060A" w:rsidRPr="009D06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економічний аналіз </w:t>
            </w:r>
            <w:r w:rsidRPr="009D06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достатніх для сприйняття категоріального апарату </w:t>
            </w:r>
            <w:r w:rsidR="00E018C4" w:rsidRPr="009D06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курсу</w:t>
            </w:r>
            <w:r w:rsidRPr="009D06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розуміння джерел </w:t>
            </w:r>
            <w:r w:rsidR="00E018C4" w:rsidRPr="009D06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використаної літератури</w:t>
            </w:r>
          </w:p>
          <w:p w14:paraId="75166F7F" w14:textId="242DB4F5" w:rsidR="00E018C4" w:rsidRPr="009D060A" w:rsidRDefault="00E018C4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84A9B" w14:paraId="4630C4A0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2DB8" w14:textId="77777777" w:rsidR="009A1082" w:rsidRPr="00E84A9B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9DF8" w14:textId="77777777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Презентація, лекції, дискусія, індивідуальні завдання</w:t>
            </w:r>
          </w:p>
          <w:p w14:paraId="1DBBBC3A" w14:textId="77777777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84A9B" w14:paraId="465604AD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19DF" w14:textId="77777777" w:rsidR="009A1082" w:rsidRPr="00E84A9B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4A9F" w14:textId="5E920037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потребує використання програмного забезпечення, загально вживани</w:t>
            </w:r>
            <w:r w:rsidR="009D1D2B"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операційних систем і програм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4A91617E" w14:textId="68EC5B41" w:rsidR="001A4742" w:rsidRPr="00E84A9B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84A9B" w14:paraId="3A06DE6A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3BE2" w14:textId="77777777" w:rsidR="009A1082" w:rsidRPr="00E84A9B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418A" w14:textId="0AD33832" w:rsidR="009A1082" w:rsidRPr="00E84A9B" w:rsidRDefault="00F529F3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hAnsi="Times New Roman"/>
                <w:sz w:val="24"/>
                <w:szCs w:val="24"/>
                <w:lang w:eastAsia="uk-UA"/>
              </w:rPr>
              <w:t>Оцінювання знань, умінь і навичок із навчальної дисципліни здійснюється на основі результатів поточного і проміжного контролю за 100-бальною шкалою.</w:t>
            </w:r>
            <w:r w:rsidR="009A1082"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Бали нараховуються за наступним </w:t>
            </w:r>
            <w:proofErr w:type="spellStart"/>
            <w:r w:rsidR="009A1082"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співідношенням</w:t>
            </w:r>
            <w:proofErr w:type="spellEnd"/>
            <w:r w:rsidR="009A1082"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14:paraId="387B2F76" w14:textId="4CB5F1DD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лабораторні (індивідуальні) завдання тощо : </w:t>
            </w:r>
            <w:r w:rsidR="00F529F3"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0% семестрової оцінки; максимальна кількість балів___</w:t>
            </w:r>
            <w:r w:rsidR="00F529F3"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0__</w:t>
            </w:r>
          </w:p>
          <w:p w14:paraId="68D8A419" w14:textId="2853A5B5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контрольні заміри (модулі): </w:t>
            </w:r>
            <w:r w:rsidR="00F529F3"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0% семестрової оцінки; максимальна кількість балів___</w:t>
            </w:r>
            <w:r w:rsidR="00F529F3"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0___</w:t>
            </w:r>
          </w:p>
          <w:p w14:paraId="5F9FC4D8" w14:textId="6C283CB8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Підсумкова максимальна кількість балів___100____</w:t>
            </w:r>
          </w:p>
          <w:p w14:paraId="0F4F79CC" w14:textId="77777777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01DD3FF" w14:textId="77777777" w:rsidR="00DA695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Очікується, що студенти виконають декілька письмових робіт (індивідуальних завдань). </w:t>
            </w:r>
          </w:p>
          <w:p w14:paraId="46AE5DFD" w14:textId="77777777" w:rsidR="00DA695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Несвоєчасне виконання поставленого індивідуального завдання  призводить до зниження оцінки за це завдання.</w:t>
            </w: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258D0B5" w14:textId="7396BFC9" w:rsidR="00DA695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</w:t>
            </w:r>
            <w:r w:rsidR="00DA6952"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практичні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77004D17" w14:textId="444B7F54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Література.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619A5E38" w14:textId="77777777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A1D75B6" w14:textId="77777777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олітика виставлення балів.</w:t>
            </w: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Враховуються всі бали набрані під час семестру та на іспиті списування та плагіат; несвоєчасне виконання поставленого завдання і т. ін.</w:t>
            </w:r>
          </w:p>
          <w:p w14:paraId="5739D27C" w14:textId="77777777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333A81B" w14:textId="77777777" w:rsidR="009A1082" w:rsidRPr="00E84A9B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14:paraId="798337F6" w14:textId="4F222668" w:rsidR="001A4742" w:rsidRPr="00E84A9B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E53509" w14:paraId="77C5C61C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60B3" w14:textId="05C1A849" w:rsidR="009A1082" w:rsidRPr="00E84A9B" w:rsidRDefault="00E53509" w:rsidP="00E5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Питання до заліку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CE54" w14:textId="77777777" w:rsidR="009A1082" w:rsidRPr="00E53509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Перелік тем та видів завдань для проведення підсумкової оцінки знань надається студентам в кінці курсу.</w:t>
            </w:r>
          </w:p>
          <w:p w14:paraId="549BCAF4" w14:textId="5CD0BE52" w:rsidR="001A4742" w:rsidRPr="00E53509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94E0758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8"/>
          <w:szCs w:val="8"/>
        </w:rPr>
      </w:pPr>
    </w:p>
    <w:p w14:paraId="417CBFD1" w14:textId="77777777" w:rsid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460DBC01" w14:textId="77777777" w:rsidR="00A942E7" w:rsidRDefault="00A942E7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73CF43FF" w14:textId="77777777" w:rsidR="00A942E7" w:rsidRDefault="00A942E7" w:rsidP="00A942E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К.е.н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доц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17091E2" w14:textId="77777777" w:rsidR="00A942E7" w:rsidRPr="00CD5478" w:rsidRDefault="00A942E7" w:rsidP="00A94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кафедри економічної кібернетики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Антонів В.Б.</w:t>
      </w:r>
    </w:p>
    <w:p w14:paraId="17F242FD" w14:textId="77777777" w:rsidR="00A942E7" w:rsidRPr="009A1082" w:rsidRDefault="00A942E7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sectPr w:rsidR="00A942E7" w:rsidRPr="009A10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92EF3"/>
    <w:multiLevelType w:val="hybridMultilevel"/>
    <w:tmpl w:val="BB86866E"/>
    <w:lvl w:ilvl="0" w:tplc="61C2DD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111D"/>
    <w:multiLevelType w:val="hybridMultilevel"/>
    <w:tmpl w:val="5AF4A946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31F16"/>
    <w:multiLevelType w:val="hybridMultilevel"/>
    <w:tmpl w:val="A9EC732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07539"/>
    <w:multiLevelType w:val="hybridMultilevel"/>
    <w:tmpl w:val="5CFA394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66361D"/>
    <w:multiLevelType w:val="hybridMultilevel"/>
    <w:tmpl w:val="7172ABBE"/>
    <w:lvl w:ilvl="0" w:tplc="2A94DF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E7AB7"/>
    <w:multiLevelType w:val="hybridMultilevel"/>
    <w:tmpl w:val="2CAC3D7E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03D79"/>
    <w:multiLevelType w:val="hybridMultilevel"/>
    <w:tmpl w:val="1D8CC6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3017A"/>
    <w:multiLevelType w:val="hybridMultilevel"/>
    <w:tmpl w:val="909E9F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91A22"/>
    <w:multiLevelType w:val="hybridMultilevel"/>
    <w:tmpl w:val="5B506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563776"/>
    <w:multiLevelType w:val="multilevel"/>
    <w:tmpl w:val="EEA4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66764"/>
    <w:multiLevelType w:val="hybridMultilevel"/>
    <w:tmpl w:val="89E0C08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3C1047"/>
    <w:multiLevelType w:val="hybridMultilevel"/>
    <w:tmpl w:val="4ADA1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0"/>
  </w:num>
  <w:num w:numId="7">
    <w:abstractNumId w:val="13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14"/>
  </w:num>
  <w:num w:numId="13">
    <w:abstractNumId w:val="8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56A43"/>
    <w:rsid w:val="000D40FE"/>
    <w:rsid w:val="0010499E"/>
    <w:rsid w:val="001A293A"/>
    <w:rsid w:val="001A4742"/>
    <w:rsid w:val="001C5B2E"/>
    <w:rsid w:val="001F6C8F"/>
    <w:rsid w:val="00270EE2"/>
    <w:rsid w:val="002E6BD4"/>
    <w:rsid w:val="00323B6F"/>
    <w:rsid w:val="003367D1"/>
    <w:rsid w:val="003414E4"/>
    <w:rsid w:val="00395CF7"/>
    <w:rsid w:val="003A5DE5"/>
    <w:rsid w:val="004B271C"/>
    <w:rsid w:val="004F63D4"/>
    <w:rsid w:val="005B0D6A"/>
    <w:rsid w:val="00627BB7"/>
    <w:rsid w:val="00647C5F"/>
    <w:rsid w:val="00685122"/>
    <w:rsid w:val="006A6169"/>
    <w:rsid w:val="006D70D9"/>
    <w:rsid w:val="007A5166"/>
    <w:rsid w:val="007E4065"/>
    <w:rsid w:val="007E4E06"/>
    <w:rsid w:val="008C19AA"/>
    <w:rsid w:val="00973DFC"/>
    <w:rsid w:val="009A1082"/>
    <w:rsid w:val="009D060A"/>
    <w:rsid w:val="009D1D2B"/>
    <w:rsid w:val="009D72AE"/>
    <w:rsid w:val="00A15E1E"/>
    <w:rsid w:val="00A360D5"/>
    <w:rsid w:val="00A942E7"/>
    <w:rsid w:val="00B715B5"/>
    <w:rsid w:val="00B75914"/>
    <w:rsid w:val="00C11977"/>
    <w:rsid w:val="00C227D8"/>
    <w:rsid w:val="00C63BB5"/>
    <w:rsid w:val="00C7035F"/>
    <w:rsid w:val="00CC5051"/>
    <w:rsid w:val="00CC797C"/>
    <w:rsid w:val="00CD728F"/>
    <w:rsid w:val="00CE03B1"/>
    <w:rsid w:val="00D63B44"/>
    <w:rsid w:val="00D66EE2"/>
    <w:rsid w:val="00DA6952"/>
    <w:rsid w:val="00DE4BF4"/>
    <w:rsid w:val="00E018C4"/>
    <w:rsid w:val="00E31A2B"/>
    <w:rsid w:val="00E43E38"/>
    <w:rsid w:val="00E44CA3"/>
    <w:rsid w:val="00E5172D"/>
    <w:rsid w:val="00E53509"/>
    <w:rsid w:val="00E84A9B"/>
    <w:rsid w:val="00EF22BC"/>
    <w:rsid w:val="00F529F3"/>
    <w:rsid w:val="00F67F68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4B4E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742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4B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nom.lnu.edu.ua/?post_type=course&amp;p=24200&amp;preview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7000</Words>
  <Characters>3990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Василь Богданович</cp:lastModifiedBy>
  <cp:revision>40</cp:revision>
  <dcterms:created xsi:type="dcterms:W3CDTF">2020-04-28T08:59:00Z</dcterms:created>
  <dcterms:modified xsi:type="dcterms:W3CDTF">2021-02-07T19:59:00Z</dcterms:modified>
</cp:coreProperties>
</file>