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Економічний ф</w:t>
      </w: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акультет 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Кафедра</w:t>
      </w:r>
      <w:r w:rsidRPr="00EB0F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фінансів, грошового обігу і кредиту</w:t>
      </w: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b/>
          <w:sz w:val="24"/>
          <w:szCs w:val="24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B0F12">
        <w:rPr>
          <w:rFonts w:ascii="Times New Roman" w:hAnsi="Times New Roman" w:cs="Times New Roman"/>
          <w:sz w:val="24"/>
          <w:szCs w:val="24"/>
        </w:rPr>
        <w:t xml:space="preserve">а засіданні кафедри </w:t>
      </w:r>
      <w:r w:rsidRPr="00EB0F12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фінансів, грошового обігу і кредиту</w:t>
      </w:r>
      <w:r w:rsidRPr="00EB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</w:t>
      </w:r>
      <w:r w:rsidRPr="00EB0F12">
        <w:rPr>
          <w:rFonts w:ascii="Times New Roman" w:hAnsi="Times New Roman" w:cs="Times New Roman"/>
          <w:sz w:val="24"/>
          <w:szCs w:val="24"/>
        </w:rPr>
        <w:t xml:space="preserve">факультету 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0F12">
        <w:rPr>
          <w:rFonts w:ascii="Times New Roman" w:hAnsi="Times New Roman" w:cs="Times New Roman"/>
          <w:sz w:val="24"/>
          <w:szCs w:val="24"/>
        </w:rPr>
        <w:t xml:space="preserve"> від </w:t>
      </w:r>
      <w:r w:rsidR="00A735DE" w:rsidRPr="00EB0F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2.01</w:t>
      </w:r>
      <w:r w:rsidRPr="00EB0F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0F12">
        <w:rPr>
          <w:rFonts w:ascii="Times New Roman" w:hAnsi="Times New Roman" w:cs="Times New Roman"/>
          <w:sz w:val="24"/>
          <w:szCs w:val="24"/>
        </w:rPr>
        <w:t>20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B0F12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sz w:val="24"/>
          <w:szCs w:val="24"/>
        </w:rPr>
      </w:pP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 xml:space="preserve">Завідувач кафедри ____________________ </w:t>
      </w: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85329" w:rsidRPr="00EB0F12" w:rsidRDefault="00285329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31829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Силабус з навчальної дисципліни «</w:t>
      </w:r>
      <w:r w:rsidR="008C1A17" w:rsidRPr="008C1A17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Стратегії та інструменти фандрейзингу</w:t>
      </w: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»,</w:t>
      </w:r>
    </w:p>
    <w:p w:rsidR="00E31829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що викладається в межах ОНП «Фінанси</w:t>
      </w:r>
      <w:r w:rsidR="002E60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E601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 кредит</w:t>
      </w: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 другого (</w:t>
      </w:r>
      <w:r w:rsidR="006F3D26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магістерського</w:t>
      </w: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 рівня</w:t>
      </w:r>
    </w:p>
    <w:p w:rsidR="00961E72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вищої освіти для здобувачів зі спеціальності 072 «Фінанси, банківська справа та страхування»</w:t>
      </w:r>
      <w:r w:rsidR="008D5221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31FE7">
        <w:rPr>
          <w:rFonts w:ascii="Times New Roman" w:hAnsi="Times New Roman" w:cs="Times New Roman"/>
          <w:b/>
          <w:sz w:val="24"/>
          <w:szCs w:val="24"/>
        </w:rPr>
        <w:t>у 202</w:t>
      </w:r>
      <w:r w:rsidR="00731FE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31FE7">
        <w:rPr>
          <w:rFonts w:ascii="Times New Roman" w:hAnsi="Times New Roman" w:cs="Times New Roman"/>
          <w:b/>
          <w:sz w:val="24"/>
          <w:szCs w:val="24"/>
        </w:rPr>
        <w:t>-202</w:t>
      </w:r>
      <w:r w:rsidR="00731FE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02E6A" w:rsidRPr="00EB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6A" w:rsidRPr="00EB0F12">
        <w:rPr>
          <w:rFonts w:ascii="Times New Roman" w:hAnsi="Times New Roman" w:cs="Times New Roman"/>
          <w:b/>
          <w:sz w:val="24"/>
          <w:szCs w:val="24"/>
          <w:lang w:val="uk-UA"/>
        </w:rPr>
        <w:t>н. р.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102E6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5329" w:rsidRPr="00EB0F12" w:rsidRDefault="00285329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Львів 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- 20</w:t>
      </w:r>
      <w:r w:rsidR="00E31829" w:rsidRPr="00EB0F12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EB0F12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EC5B44" w:rsidRPr="00EB0F12" w:rsidRDefault="00EC5B44">
      <w:pPr>
        <w:rPr>
          <w:rFonts w:ascii="Times New Roman" w:hAnsi="Times New Roman" w:cs="Times New Roman"/>
          <w:lang w:val="uk-UA"/>
        </w:rPr>
      </w:pPr>
    </w:p>
    <w:p w:rsidR="00001426" w:rsidRPr="00EB0F12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 курсу</w:t>
      </w:r>
    </w:p>
    <w:p w:rsidR="008C1A17" w:rsidRDefault="008C1A17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8C1A17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Стратегії та інструменти фандрейзингу </w:t>
      </w:r>
    </w:p>
    <w:p w:rsidR="00552A4B" w:rsidRPr="00EB0F12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F3D26" w:rsidRPr="00EB0F12">
        <w:rPr>
          <w:rFonts w:ascii="Times New Roman" w:hAnsi="Times New Roman" w:cs="Times New Roman"/>
          <w:b/>
          <w:sz w:val="24"/>
          <w:szCs w:val="24"/>
          <w:lang w:val="uk-UA"/>
        </w:rPr>
        <w:t>21-2022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RPr="00EB0F12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C1A17" w:rsidP="006F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СТРАТЕГІЇ ТА ІНСТРУМЕНТИ ФАНДРЕЙЗИНГУ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RPr="00EB0F12" w:rsidTr="00753405">
        <w:trPr>
          <w:trHeight w:val="2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12759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дисципліна</w:t>
            </w:r>
            <w:r w:rsidR="002E6329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вільного вибору студентів</w:t>
            </w:r>
          </w:p>
        </w:tc>
      </w:tr>
      <w:tr w:rsidR="00436183" w:rsidRPr="00EB0F12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EB0F12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FE3A2B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EB0F12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C1A17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EB0F12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EB0F12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61F6A" w:rsidRPr="00474CB6" w:rsidRDefault="00361F6A" w:rsidP="00845FE8">
            <w:pPr>
              <w:pStyle w:val="Default"/>
            </w:pPr>
            <w:r w:rsidRPr="00474CB6">
              <w:t xml:space="preserve">Навчальна дисципліна спрямована </w:t>
            </w:r>
            <w:r w:rsidR="00B333B0" w:rsidRPr="00474CB6">
              <w:t>на створення комплексу теоретичних знань та практичних навиків у сфері використання технологі</w:t>
            </w:r>
            <w:r w:rsidR="00474CB6" w:rsidRPr="00474CB6">
              <w:t>й фандрейзингу для мобілізації ресурсів з метою</w:t>
            </w:r>
            <w:r w:rsidR="00B333B0" w:rsidRPr="00474CB6">
              <w:t xml:space="preserve"> реалізації цільових програм та проектів соціально-комерційного</w:t>
            </w:r>
            <w:r w:rsidR="00845FE8">
              <w:t xml:space="preserve"> і</w:t>
            </w:r>
            <w:r w:rsidR="00B333B0" w:rsidRPr="00474CB6">
              <w:t xml:space="preserve"> некомерційного характеру</w:t>
            </w:r>
            <w:r w:rsidR="00474CB6" w:rsidRPr="00474CB6">
              <w:t>; о</w:t>
            </w:r>
            <w:r w:rsidR="00B333B0" w:rsidRPr="00474CB6">
              <w:t>знайомлення</w:t>
            </w:r>
            <w:r w:rsidR="00474CB6" w:rsidRPr="00474CB6">
              <w:t xml:space="preserve"> студентів</w:t>
            </w:r>
            <w:r w:rsidR="00B333B0" w:rsidRPr="00474CB6">
              <w:t xml:space="preserve"> </w:t>
            </w:r>
            <w:r w:rsidR="00474CB6" w:rsidRPr="00474CB6">
              <w:t>з особливостями</w:t>
            </w:r>
            <w:r w:rsidR="00B333B0" w:rsidRPr="00474CB6">
              <w:t xml:space="preserve"> розвитку фандрайзингу в Україні </w:t>
            </w:r>
            <w:r w:rsidR="00474CB6" w:rsidRPr="00474CB6">
              <w:t xml:space="preserve">і світі, його </w:t>
            </w:r>
            <w:r w:rsidR="00B333B0" w:rsidRPr="00474CB6">
              <w:t>ролі у ринковій економіці.</w:t>
            </w:r>
            <w:r w:rsidR="00474CB6" w:rsidRPr="00474CB6">
              <w:t xml:space="preserve"> Курс розкриває практичні аспекти використання</w:t>
            </w:r>
            <w:r w:rsidR="00474CB6">
              <w:t xml:space="preserve"> інноваційних технологій, інструментів та стратегій</w:t>
            </w:r>
            <w:r w:rsidR="00474CB6" w:rsidRPr="00474CB6">
              <w:t xml:space="preserve"> фандрейзингу</w:t>
            </w:r>
            <w:r w:rsidR="00474CB6">
              <w:t xml:space="preserve">. </w:t>
            </w:r>
            <w:r w:rsidR="00474CB6" w:rsidRPr="00474CB6">
              <w:t xml:space="preserve"> </w:t>
            </w:r>
          </w:p>
        </w:tc>
      </w:tr>
      <w:tr w:rsidR="00436183" w:rsidRPr="00EB0F12" w:rsidTr="003D186D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B333B0" w:rsidRDefault="00E054DF" w:rsidP="003D18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дисципліна «</w:t>
            </w:r>
            <w:r w:rsidR="008B45E3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Стратегії та інструменти фандрейзингу</w:t>
            </w:r>
            <w:r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є дисципліною вільного вибору студентів, яка викладається в 3 семестрі </w:t>
            </w:r>
            <w:r w:rsidR="00AB434C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магістратури</w:t>
            </w:r>
            <w:r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F63CE2" w:rsidRPr="00B333B0" w:rsidRDefault="003D186D" w:rsidP="00B333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с</w:t>
            </w:r>
            <w:r w:rsidR="00630F7D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прямована на формування </w:t>
            </w:r>
            <w:r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магістрів </w:t>
            </w:r>
            <w:r w:rsidR="008D5221" w:rsidRPr="00B33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ОНП «Фінанси, банківська справа та страхування» другого (магістерського) рівня</w:t>
            </w:r>
            <w:r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33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8D5221" w:rsidRPr="00B33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 спеціальності 072 «Фінанси, банківська справа та страхування»</w:t>
            </w:r>
            <w:r w:rsidRPr="00B33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8D5221" w:rsidRPr="00B33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теоретичних знань</w:t>
            </w:r>
            <w:r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3B0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суть, роль та принципи здійснення</w:t>
            </w:r>
            <w:r w:rsidR="008B45E3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фандрейзингу</w:t>
            </w:r>
            <w:r w:rsidR="00B333B0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а також про технології, стратегії</w:t>
            </w:r>
            <w:r w:rsidR="008B45E3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3B0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інструменти фандрейзингу. Курс покликаний сформувати у здобувачів </w:t>
            </w:r>
            <w:r w:rsidR="008B45E3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навики практичного пошуку </w:t>
            </w:r>
            <w:r w:rsidR="008B45E3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фондів, грантів</w:t>
            </w:r>
            <w:r w:rsidR="00B333B0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для реалізації некомерційних та комерційно-соціальних проектів, а також </w:t>
            </w:r>
            <w:r w:rsidR="008B45E3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практичного розроблення </w:t>
            </w:r>
            <w:r w:rsidR="00B333B0" w:rsidRP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планів, бюджетів та складання звітності за проектами.</w:t>
            </w:r>
            <w:r w:rsidR="00B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B0F12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8C1A17" w:rsidRDefault="003C52EF" w:rsidP="006D06D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D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вибіркової дисципліни «</w:t>
            </w:r>
            <w:r w:rsidR="006D06D8" w:rsidRPr="006D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та інструменти фандрейзингу</w:t>
            </w:r>
            <w:r w:rsidRPr="006D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6D06D8" w:rsidRPr="006D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магістрів цілісного науково-теоретичного та практичного уявлення про фандрейзинг як практику мобілізації фінансових ресурсів на некомерційні та комерційно-соціальні проекти</w:t>
            </w:r>
            <w:r w:rsidR="006D06D8" w:rsidRPr="006D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6D06D8" w:rsidRPr="006D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професійних знань про суть, принципи, технології, інструменти та стратегії фандрейзингу та оволодіння практичними навичками та прийомами фандрейзингу. </w:t>
            </w:r>
          </w:p>
        </w:tc>
      </w:tr>
      <w:tr w:rsidR="00436183" w:rsidRPr="00EB0F12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 </w:t>
            </w:r>
            <w:r w:rsidR="00464B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інформаційні ресурси 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Березін О.В</w:t>
            </w:r>
            <w:r w:rsidR="006D06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. Управління проектами [Текст] 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[Електронний ресурс]: навч. – метод. посібник / О.В. Березін. – Полтава: РВВ ПУЕТ, 2011. – 149 с.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Боголіб Т. М. Освітній та науковий фандрайзинг в Україні / Т. М. Боголіб // Наукові праці Донецького національного технічного університету. Сер.: Економічна. – 2014. – № 5. – С. 11.</w:t>
            </w:r>
          </w:p>
          <w:p w:rsidR="00DB2B61" w:rsidRPr="00DB2B61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Войтко С. В. Управління проектами та стартапами в Індустрії 4.0 : Підручник / С.В. Войтко. – Київ : КПІ ім. Сікорського, Вид-в</w:t>
            </w:r>
            <w:r w:rsid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 «Політехніка», 2019. – 200 с. </w:t>
            </w:r>
            <w:r w:rsidR="00DB2B61" w:rsidRP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[Електронний ресурс] -</w:t>
            </w:r>
          </w:p>
          <w:p w:rsidR="00464B4D" w:rsidRPr="00464B4D" w:rsidRDefault="00DB2B61" w:rsidP="00845FE8">
            <w:pPr>
              <w:spacing w:line="240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Режим доступу до ресурсу : </w:t>
            </w:r>
            <w:hyperlink r:id="rId9" w:history="1">
              <w:r w:rsidR="00464B4D" w:rsidRPr="006205C4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https://books.google.com.eg/books?id=k1afDwAA</w:t>
              </w:r>
            </w:hyperlink>
            <w:r w:rsidR="00464B4D"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DB2B61" w:rsidRPr="00DB2B61" w:rsidRDefault="00DB2B61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Краудфандинг, краудинвестинг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Peer-to-peerкредитование [Електронний ресурс] -</w:t>
            </w:r>
          </w:p>
          <w:p w:rsidR="00DB2B61" w:rsidRPr="00DB2B61" w:rsidRDefault="00DB2B61" w:rsidP="00DB2B61">
            <w:pPr>
              <w:pStyle w:val="ac"/>
              <w:spacing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Режим доступу до ресурсу : http://www.cfin.ru/investor/venture/crowd_funding.shtml</w:t>
            </w:r>
          </w:p>
          <w:p w:rsidR="00464B4D" w:rsidRPr="00DB2B61" w:rsidRDefault="00464B4D" w:rsidP="00DB2B6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Міщенко С. Г. Інституційне забезпечення фандрайзингу в Україні та перспективи розвитку / С. Г. Міщенко, А. М. Соколова // Науковий вісник Полтавського університету економіки і торгівлі. Сер.: Економічні науки. – 2013. – № 1. – С. 275–281.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Огородник В. О. Фандрайзинг – інструмент активізації соціально-відповідальної взаємодії суб'єктів суспільних відносин / В. О. Огородник // Економіка і організація управління. – 2014. – Вип. 1–2. </w:t>
            </w:r>
          </w:p>
          <w:p w:rsidR="006205C4" w:rsidRPr="00DB2B61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Осецький В. Л. Особливості використання ендавменту та фандрейзингу в освітній практиці / В. Л. Осецький, І. Л. Татомир // Фінанси України. – 2016. – № 3. – С. 86–100. </w:t>
            </w:r>
            <w:r w:rsid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B2B61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Режим доступу до ресурсу : </w:t>
            </w:r>
            <w:hyperlink r:id="rId10" w:history="1">
              <w:r w:rsidR="006205C4" w:rsidRPr="00DB2B61">
                <w:rPr>
                  <w:rStyle w:val="a4"/>
                  <w:rFonts w:ascii="Times New Roman" w:eastAsiaTheme="minorHAnsi" w:hAnsi="Times New Roman"/>
                  <w:sz w:val="24"/>
                  <w:szCs w:val="24"/>
                  <w:lang w:val="uk-UA" w:eastAsia="en-US"/>
                </w:rPr>
                <w:t>http://www.cfin.ru/investor/venture/crowd_funding.shtml</w:t>
              </w:r>
            </w:hyperlink>
          </w:p>
          <w:p w:rsidR="00464B4D" w:rsidRPr="006205C4" w:rsidRDefault="006205C4" w:rsidP="00DB2B6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6205C4">
              <w:rPr>
                <w:rFonts w:ascii="Times New Roman" w:hAnsi="Times New Roman" w:cs="Times New Roman"/>
                <w:sz w:val="24"/>
                <w:szCs w:val="24"/>
              </w:rPr>
              <w:t>Офіційний сайт Foundations.org. Режим доступу: http://www. foundations.org</w:t>
            </w:r>
          </w:p>
          <w:p w:rsidR="006205C4" w:rsidRPr="006205C4" w:rsidRDefault="006205C4" w:rsidP="00DB2B6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6205C4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Fundraising INFO.com. Режим доступу: http:// </w:t>
            </w:r>
            <w:hyperlink r:id="rId11" w:history="1">
              <w:r w:rsidRPr="006205C4">
                <w:rPr>
                  <w:rStyle w:val="a4"/>
                  <w:rFonts w:ascii="Times New Roman" w:hAnsi="Times New Roman"/>
                  <w:sz w:val="24"/>
                  <w:szCs w:val="24"/>
                </w:rPr>
                <w:t>www.fundraisinginfo.com</w:t>
              </w:r>
            </w:hyperlink>
          </w:p>
          <w:p w:rsidR="006205C4" w:rsidRPr="006205C4" w:rsidRDefault="006205C4" w:rsidP="00DB2B6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6205C4">
              <w:rPr>
                <w:rFonts w:ascii="Times New Roman" w:hAnsi="Times New Roman" w:cs="Times New Roman"/>
                <w:sz w:val="24"/>
                <w:szCs w:val="24"/>
              </w:rPr>
              <w:t xml:space="preserve"> Офіційний сайт Grantstation. Режим доступу: http://www. grantstation.com</w:t>
            </w:r>
          </w:p>
          <w:p w:rsidR="006205C4" w:rsidRPr="006205C4" w:rsidRDefault="006205C4" w:rsidP="00DB2B6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6205C4">
              <w:rPr>
                <w:rFonts w:ascii="Times New Roman" w:hAnsi="Times New Roman" w:cs="Times New Roman"/>
                <w:sz w:val="24"/>
                <w:szCs w:val="24"/>
              </w:rPr>
              <w:t>Офіційний сайт Guidestar. Режим доступу: http://www. guidestar.com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Розробка концептуальної ноти проекту. Практичний посібник. [Електронний ресурс] // Проект Європейського Союзу. Підтримка регіонального розвитку в Україні. – Режим доступу до ресурсу: http://surdp.eu/uploads/fi les/SURDP_Manuals/Project_Concept_Developme nt_Manual_UA.pdf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Розробка повної форми заявки. Практичний посібник. [Електронний ресурс] // Проект Європейського Союзу. Підтримка регіонального розвитку в Україні. – Режим доступу до ресурсу: http://surdp.eu/uploads/fi les/SURDP_Manuals/Project_Concept_Developme nt_Manual_UA.pdf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Соколова А. Модель фандрайзингової діяльності в Україні / А. Соколова, В. Клименко // Журнал європейської економіки. – 2015. – Т. 14, № 1. – С. 72–88</w:t>
            </w:r>
          </w:p>
          <w:p w:rsidR="00464B4D" w:rsidRPr="00815FA6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1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Соціальне підприємництво. Бізнес-модель. Реєстрація.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1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Оподаткування. / Долуда Л., Назарук В., Кірсанова Ю. – Київ,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15F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 «Агентство «Україна», 2017. – 92 с.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Фандрейзинг. Навчальний посібник для посадових осіб місцевого самоврядування / О.Кобзарев / Асоціація міст України – К., ТОВ «ПІДПРИЄМСТВО «ВІ ЕН ЕЙ», 2015. – 84 с. https://www.auc.org.ua/sites/default/files/library/4f undbwweb1.pdf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Чернявська О. В., Соколова А. М. Ч-49 Фандрайзинг. Навч. посіб. – 2-е вид., з доопрац. та допов. – К.: Алерта, 2015. – 272 с.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Шнирков О. І. Фандрайзинг: основні особливості та форми: метод. посібн. / О. І. Шнирков, І. О. Мінгазутдінов. – 1-ше вид. – К.: Ін-т міжнар. відн. КНУ ім. Т. Шевченка, 2000. – 50 с.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Chad, P., E. Kyriazis, &amp; J. Motion. (2013). Development of a Market Orientation Research Agenda for The Nonprofit Sector. Journal of Nonprofit &amp; Public Sector Marketing. 25(1): 1-27. 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Crowdfunding and Peer-to-Peer Fundraisinge Book [Електронний ресурс] - Режим доступу до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ресурсу : https://www.mobilecause.com/downloads/GettingStartedGuide-Crowdfunding_MobileCause-HR.pdf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Dolnicar, S., &amp; K. Lazarevski. (2009). Marketing in Non-profit Organizations: an International Perspective. International Marketing Review. 26(3): 275-291.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One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Page Project Management [Електронний ресурс] – Режим доступу до ресурсу: https:// </w:t>
            </w:r>
            <w:hyperlink r:id="rId12" w:history="1">
              <w:r w:rsidRPr="006205C4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www.oppmi.com/download-project-manager.cfm</w:t>
              </w:r>
            </w:hyperlink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464B4D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Online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Fundraising: The Beginner’s Guide for Nonprofits. [Електронний ресурс] - Режим доступу до ресурсу : https://www.mobilecause.com/online-fundraising-g uide</w:t>
            </w:r>
          </w:p>
          <w:p w:rsidR="00E104BB" w:rsidRPr="00464B4D" w:rsidRDefault="00464B4D" w:rsidP="00DB2B6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64B4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Yung-MingLia,</w:t>
            </w:r>
            <w:r w:rsidRPr="00464B4D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Pr="00464B4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Jhih-Dong Wua</w:t>
            </w:r>
            <w:r w:rsidRPr="00464B4D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, </w:t>
            </w:r>
            <w:r w:rsidRPr="00464B4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Chin-Yu Hsieha</w:t>
            </w:r>
            <w:r w:rsidRPr="00464B4D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, </w:t>
            </w:r>
            <w:r w:rsidRPr="00464B4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Jyh-Hwa Liouab</w:t>
            </w:r>
            <w:r w:rsidRPr="00464B4D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(2019) </w:t>
            </w:r>
            <w:r w:rsidRPr="00464B4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A social fundraising mechanism for charity crowdfunding</w:t>
            </w:r>
            <w:r w:rsidRPr="00464B4D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. </w:t>
            </w:r>
            <w:hyperlink r:id="rId13" w:tooltip="Go to Decision Support Systems on ScienceDirect" w:history="1">
              <w:r w:rsidR="007A14A9" w:rsidRPr="006205C4">
                <w:rPr>
                  <w:rFonts w:ascii="Times New Roman" w:eastAsiaTheme="minorHAnsi" w:hAnsi="Times New Roman" w:cs="Times New Roman"/>
                  <w:i/>
                  <w:sz w:val="24"/>
                  <w:szCs w:val="24"/>
                  <w:lang w:val="uk-UA" w:eastAsia="en-US"/>
                </w:rPr>
                <w:t>Decision Support Systems</w:t>
              </w:r>
            </w:hyperlink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hyperlink r:id="rId14" w:tooltip="Go to table of contents for this volume/issue" w:history="1">
              <w:r w:rsidR="007A14A9" w:rsidRPr="006205C4">
                <w:rPr>
                  <w:rFonts w:ascii="Times New Roman" w:eastAsiaTheme="minorHAnsi" w:hAnsi="Times New Roman" w:cs="Times New Roman"/>
                  <w:sz w:val="24"/>
                  <w:szCs w:val="24"/>
                  <w:lang w:val="uk-UA" w:eastAsia="en-US"/>
                </w:rPr>
                <w:t>Volume 129</w:t>
              </w:r>
            </w:hyperlink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Pr="00464B4D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hyperlink r:id="rId15" w:tgtFrame="_blank" w:tooltip="Persistent link using digital object identifier" w:history="1">
              <w:r w:rsidR="007A14A9" w:rsidRPr="006205C4">
                <w:rPr>
                  <w:rFonts w:ascii="Times New Roman" w:eastAsiaTheme="minorHAnsi" w:hAnsi="Times New Roman" w:cs="Times New Roman"/>
                  <w:sz w:val="24"/>
                  <w:szCs w:val="24"/>
                  <w:u w:val="single"/>
                  <w:lang w:val="uk-UA" w:eastAsia="en-US"/>
                </w:rPr>
                <w:t>https://doi.org/10.1016/j.dss.2019.113170</w:t>
              </w:r>
            </w:hyperlink>
            <w:r w:rsidRPr="00464B4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436183" w:rsidRPr="00EB0F12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B0F12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436183" w:rsidRPr="00EB0F12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 </w:t>
            </w:r>
            <w:r w:rsidR="00D747C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436183" w:rsidRPr="00EB0F12" w:rsidTr="008B45E3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D06D8" w:rsidRPr="008B45E3" w:rsidRDefault="00567EB3" w:rsidP="006D06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теоретичного навчання:</w:t>
            </w:r>
          </w:p>
          <w:p w:rsidR="00567EB3" w:rsidRPr="008B45E3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знання </w:t>
            </w:r>
            <w:r w:rsidR="00C74654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суті та принципів фандрейзингу</w:t>
            </w:r>
            <w:r w:rsidR="009B735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4654" w:rsidRPr="008B45E3" w:rsidRDefault="00567EB3" w:rsidP="009B7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735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45E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знання про </w:t>
            </w:r>
            <w:r w:rsidR="009B735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механізми</w:t>
            </w:r>
            <w:r w:rsidR="00C74654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технології та інструменти фандрейзингу</w:t>
            </w:r>
            <w:r w:rsidR="00C74654" w:rsidRPr="008B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67EB3" w:rsidRPr="008B45E3" w:rsidRDefault="00C74654" w:rsidP="009B7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F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45E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 в основних особливостях</w:t>
            </w:r>
            <w:r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фандрейзингу в Україні та світі</w:t>
            </w:r>
            <w:r w:rsidR="00E36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1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F7D" w:rsidRPr="008B45E3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5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практичного навчання:</w:t>
            </w:r>
          </w:p>
          <w:p w:rsidR="00630F7D" w:rsidRPr="008B45E3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навики практичного </w:t>
            </w:r>
            <w:r w:rsidR="00C74654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пошуку фондів, грантів, донорів</w:t>
            </w:r>
            <w:r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A720C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45E3" w:rsidRPr="008B45E3" w:rsidRDefault="008B45E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навики практичного розроблення стратегії та вибору інструментів фандрейзингу; </w:t>
            </w:r>
          </w:p>
          <w:p w:rsidR="00436183" w:rsidRPr="008B45E3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</w:t>
            </w:r>
            <w:r w:rsidR="008B45E3" w:rsidRPr="008B4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презентації проекту, складання бюджету проекту, супровідної документації та звітності</w:t>
            </w:r>
            <w:r w:rsidR="00E36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RPr="00EB0F12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9E1578" w:rsidP="00A701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6183" w:rsidRPr="00EB0F12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104BB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104BB" w:rsidRPr="00EB0F12" w:rsidRDefault="00E104BB" w:rsidP="00774B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та фахові знання, отримані на першому рівні вищої освіти (“Фінанси під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приємств”, “Фінансовий аналіз”) та на другому рівні вищої освіти (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“Фінансовий 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менеджмент”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753BD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Проектне фінансування</w:t>
            </w:r>
            <w:r w:rsidR="006753BD" w:rsidRPr="008C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управління фінансами,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B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банківською справою та страхуванням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8C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1A17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="008C1A17" w:rsidRPr="008C1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інноваційної діяльності підприємств”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436183" w:rsidRPr="00EB0F12" w:rsidTr="00CF0826">
        <w:trPr>
          <w:trHeight w:val="1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36183" w:rsidRPr="00EB0F12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B0F12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проблемних ситуацій</w:t>
            </w:r>
          </w:p>
          <w:p w:rsidR="000E69BD" w:rsidRPr="00EB0F12" w:rsidRDefault="000E69BD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індивідуальних та групових проектів</w:t>
            </w:r>
          </w:p>
        </w:tc>
      </w:tr>
      <w:tr w:rsidR="00436183" w:rsidRPr="00EB0F12" w:rsidTr="00014DB3">
        <w:trPr>
          <w:trHeight w:val="19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0E69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</w:p>
        </w:tc>
      </w:tr>
      <w:tr w:rsidR="00436183" w:rsidRPr="00EB0F12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B0F12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B0F12" w:rsidRDefault="006753B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B0F12" w:rsidRDefault="000E69B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виконання домашніх завдань </w:t>
            </w:r>
          </w:p>
          <w:p w:rsidR="00436183" w:rsidRPr="00EB0F12" w:rsidRDefault="000E69BD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C49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домашні та групові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оригінальними</w:t>
            </w:r>
            <w:r w:rsidR="00B54551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B0F12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 і практичні зайняття курсу.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об’єктивних причин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в он-лайн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заняття.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B0F12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B0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6753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6753BD" w:rsidRPr="006753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тратегії та інструменти фандрейзингу</w:t>
            </w:r>
            <w:r w:rsidR="00014DB3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285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списування та плагіат; не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B0F12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B0F12" w:rsidTr="00834273">
        <w:trPr>
          <w:trHeight w:val="4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B0F12" w:rsidRDefault="00102E6A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Індивідуальні та домашні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A2B0B" w:rsidRPr="00CE7899" w:rsidRDefault="00CE7899" w:rsidP="00CE78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E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ідеї та презентація бюджету фандрейзингового проекту: індивідуальна та групова робота</w:t>
            </w:r>
          </w:p>
        </w:tc>
      </w:tr>
      <w:tr w:rsidR="00436183" w:rsidRPr="00EB0F12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форми опитування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</w:p>
        </w:tc>
      </w:tr>
    </w:tbl>
    <w:p w:rsidR="0022487C" w:rsidRPr="00EB0F12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Pr="00EB0F12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EB0F12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Pr="00EB0F12" w:rsidRDefault="00436183" w:rsidP="009301E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EB0F12" w:rsidRPr="00EB0F12" w:rsidRDefault="00EB0F12" w:rsidP="0043618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2693"/>
        <w:gridCol w:w="1560"/>
        <w:gridCol w:w="1417"/>
        <w:gridCol w:w="3544"/>
        <w:gridCol w:w="1417"/>
      </w:tblGrid>
      <w:tr w:rsidR="00036917" w:rsidRPr="00EB0F12" w:rsidTr="00DB2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4C7D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Тиж. / дата / год.-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B0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Тема, короткі</w:t>
            </w:r>
            <w:r w:rsidR="00EB7B4D" w:rsidRPr="00EB0F1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</w:rPr>
              <w:t>тези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Матеріали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Лі</w:t>
            </w:r>
            <w:r w:rsidR="00F02421" w:rsidRPr="00EB0F12">
              <w:rPr>
                <w:rFonts w:ascii="Times New Roman" w:hAnsi="Times New Roman" w:cs="Times New Roman"/>
                <w:b/>
              </w:rPr>
              <w:t>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Завдання,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D354CE" w:rsidRPr="00EB0F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</w:p>
        </w:tc>
      </w:tr>
      <w:tr w:rsidR="00C375FC" w:rsidRPr="00EB0F12" w:rsidTr="00DB2B61">
        <w:trPr>
          <w:trHeight w:val="1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 / 2 год.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0C" w:rsidRPr="00D54914" w:rsidRDefault="00C375FC" w:rsidP="00D54914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  <w:r w:rsidRPr="00EB0F12">
              <w:rPr>
                <w:b/>
                <w:sz w:val="23"/>
                <w:szCs w:val="23"/>
                <w:lang w:val="uk-UA"/>
              </w:rPr>
              <w:t xml:space="preserve">Тема 1. </w:t>
            </w:r>
            <w:r w:rsidR="00CC6B0C" w:rsidRPr="00EB0F12">
              <w:rPr>
                <w:b/>
                <w:sz w:val="23"/>
                <w:szCs w:val="23"/>
                <w:lang w:val="uk-UA"/>
              </w:rPr>
              <w:t xml:space="preserve"> </w:t>
            </w:r>
            <w:r w:rsidR="00D54914">
              <w:rPr>
                <w:b/>
                <w:sz w:val="23"/>
                <w:szCs w:val="23"/>
                <w:lang w:val="uk-UA"/>
              </w:rPr>
              <w:t xml:space="preserve">ТЕОРЕТИЧНІ ОСНОВИ </w:t>
            </w:r>
            <w:r w:rsidR="00D54914" w:rsidRPr="00146771">
              <w:rPr>
                <w:b/>
                <w:sz w:val="23"/>
                <w:szCs w:val="23"/>
                <w:lang w:val="uk-UA"/>
              </w:rPr>
              <w:t>ФАНДРАЙЗИНГУ В ПУБЛІЧНОМУ</w:t>
            </w:r>
            <w:r w:rsidR="00D54914">
              <w:rPr>
                <w:b/>
                <w:sz w:val="23"/>
                <w:szCs w:val="23"/>
                <w:lang w:val="uk-UA"/>
              </w:rPr>
              <w:t xml:space="preserve"> ТА БІЗНЕС-</w:t>
            </w:r>
            <w:r w:rsidR="00D54914" w:rsidRPr="00146771">
              <w:rPr>
                <w:b/>
                <w:sz w:val="23"/>
                <w:szCs w:val="23"/>
                <w:lang w:val="uk-UA"/>
              </w:rPr>
              <w:t>СЕКТОРІ</w:t>
            </w:r>
          </w:p>
          <w:p w:rsidR="00B05192" w:rsidRDefault="00AF6D35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AF6D35">
              <w:rPr>
                <w:sz w:val="23"/>
                <w:szCs w:val="23"/>
                <w:lang w:val="uk-UA"/>
              </w:rPr>
              <w:t>Сутність, принципи та основні поняття фандрайзингу</w:t>
            </w:r>
          </w:p>
          <w:p w:rsidR="00AF6D35" w:rsidRDefault="00AF6D35" w:rsidP="00AF6D35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Фандрейзинг</w:t>
            </w:r>
            <w:r w:rsidRPr="00AF6D35">
              <w:rPr>
                <w:sz w:val="23"/>
                <w:szCs w:val="23"/>
                <w:lang w:val="uk-UA"/>
              </w:rPr>
              <w:t xml:space="preserve"> в публічному секторі</w:t>
            </w:r>
          </w:p>
          <w:p w:rsidR="00AF6D35" w:rsidRDefault="00AF6D35" w:rsidP="00AF6D35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Основи фандрейзингу для бізнес-об</w:t>
            </w:r>
            <w:r>
              <w:rPr>
                <w:sz w:val="23"/>
                <w:szCs w:val="23"/>
                <w:lang w:val="en-US"/>
              </w:rPr>
              <w:t>’</w:t>
            </w:r>
            <w:r w:rsidR="00CE7899">
              <w:rPr>
                <w:sz w:val="23"/>
                <w:szCs w:val="23"/>
                <w:lang w:val="uk-UA"/>
              </w:rPr>
              <w:t>єднань</w:t>
            </w:r>
          </w:p>
          <w:p w:rsidR="00CE7899" w:rsidRPr="00CE7899" w:rsidRDefault="00CE7899" w:rsidP="00CE789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032F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Фандрайзинг як основа розвитку некомерці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йних та громадських організацій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3B0F5E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  <w:p w:rsidR="00C375FC" w:rsidRPr="00EB0F12" w:rsidRDefault="00C375FC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C375FC" w:rsidRPr="00EB0F12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50" w:rsidRPr="00DB2B61" w:rsidRDefault="008F1550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8F1550" w:rsidRPr="00DB2B61" w:rsidRDefault="00474CB6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16, 18, 23</w:t>
            </w:r>
          </w:p>
          <w:p w:rsidR="00C375FC" w:rsidRPr="00DB2B61" w:rsidRDefault="00C375FC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C375FC" w:rsidRPr="00EB0F12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AF6D3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занять) 7,25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 тиждень</w:t>
            </w:r>
          </w:p>
        </w:tc>
      </w:tr>
      <w:tr w:rsidR="00C375FC" w:rsidRPr="00EB0F12" w:rsidTr="00DB2B61">
        <w:trPr>
          <w:trHeight w:val="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C375FC" w:rsidRPr="00EB0F12" w:rsidRDefault="00C375FC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DB2B61" w:rsidRDefault="00C375FC" w:rsidP="00C375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 тиждень</w:t>
            </w:r>
          </w:p>
        </w:tc>
      </w:tr>
      <w:tr w:rsidR="00C375FC" w:rsidRPr="00EB0F12" w:rsidTr="00DB2B61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3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F4" w:rsidRPr="005032F4" w:rsidRDefault="00C375FC" w:rsidP="005032F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Тема 2.  </w:t>
            </w:r>
            <w:r w:rsidR="005032F4" w:rsidRPr="00503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ФАНДРАЙЗИНГОВА ДІЯЛЬНІСТЬ ТА ФОРМИ ЇЇ ПІДТРИМКИ</w:t>
            </w:r>
          </w:p>
          <w:p w:rsidR="005032F4" w:rsidRDefault="005032F4" w:rsidP="005032F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032F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Види ре</w:t>
            </w:r>
            <w:r w:rsidR="00DB18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сурсів, необхідних для розвитку </w:t>
            </w:r>
            <w:r w:rsidRPr="005032F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фандрайзингової діяльності. </w:t>
            </w:r>
          </w:p>
          <w:p w:rsidR="00F55185" w:rsidRDefault="005032F4" w:rsidP="005032F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032F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Інструменти фандрайзингу</w:t>
            </w:r>
            <w:r w:rsidR="00DB18C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  <w:p w:rsidR="00DB18CC" w:rsidRPr="00EB0F12" w:rsidRDefault="00DB18CC" w:rsidP="005032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Типи фандрейзингових компаній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43DBB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  <w:bookmarkStart w:id="1" w:name="_gjdgxs" w:colFirst="0" w:colLast="0"/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DB2B61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9252BD" w:rsidRPr="00DB2B61" w:rsidRDefault="00474CB6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1-3, 6, 7</w:t>
            </w:r>
            <w:r w:rsidR="00DB2B61"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15, 24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C375FC" w:rsidRPr="00EB0F12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AF6D3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</w:t>
            </w:r>
            <w:r w:rsidR="00DE64F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виконання індивідуального завдання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)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 тиждень</w:t>
            </w:r>
          </w:p>
        </w:tc>
      </w:tr>
      <w:tr w:rsidR="00C375FC" w:rsidRPr="00EB0F12" w:rsidTr="00DB2B61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4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C375FC" w:rsidRPr="00EB0F12" w:rsidRDefault="00C375FC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C375FC" w:rsidRPr="00EB0F12" w:rsidRDefault="00C375FC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C375FC" w:rsidRPr="00EB0F12" w:rsidRDefault="00C375FC" w:rsidP="00C375F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DB2B61" w:rsidRDefault="00C375FC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EB0F12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 тиждень</w:t>
            </w:r>
          </w:p>
        </w:tc>
      </w:tr>
      <w:tr w:rsidR="00580CF0" w:rsidRPr="00EB0F12" w:rsidTr="00DB2B61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2F4" w:rsidRPr="005032F4" w:rsidRDefault="001F0AE4" w:rsidP="005032F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3</w:t>
            </w:r>
            <w:r w:rsidR="00580CF0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.  </w:t>
            </w:r>
            <w:r w:rsidR="00743EB0" w:rsidRPr="005032F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ФОНДИ ТА ГРАНТИ</w:t>
            </w:r>
          </w:p>
          <w:p w:rsidR="005032F4" w:rsidRDefault="00CE7899" w:rsidP="005032F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Визначення фонду</w:t>
            </w:r>
          </w:p>
          <w:p w:rsidR="005032F4" w:rsidRDefault="00CE7899" w:rsidP="005032F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Види фондів в Україні.</w:t>
            </w:r>
          </w:p>
          <w:p w:rsidR="005032F4" w:rsidRDefault="00CE7899" w:rsidP="005032F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Зарубіжні фонди</w:t>
            </w:r>
          </w:p>
          <w:p w:rsidR="00743EB0" w:rsidRDefault="00743EB0" w:rsidP="00743E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Сутність поняття «грант», к</w:t>
            </w:r>
            <w:r w:rsidR="00CE78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ласифікація грантів</w:t>
            </w:r>
          </w:p>
          <w:p w:rsidR="00CE7899" w:rsidRPr="005032F4" w:rsidRDefault="00CE7899" w:rsidP="00743EB0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Принципи надання/отримання грантів</w:t>
            </w:r>
          </w:p>
          <w:p w:rsidR="001F0AE4" w:rsidRPr="005032F4" w:rsidRDefault="001F0AE4" w:rsidP="001F0AE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Навчально-методичні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матеріали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DB2B61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Інформаційні джерела</w:t>
            </w:r>
          </w:p>
          <w:p w:rsidR="00580CF0" w:rsidRPr="00DB2B61" w:rsidRDefault="00DB2B6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7-11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окремих тем або питань, що</w:t>
            </w:r>
            <w:r w:rsidR="00AF6D3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</w:p>
          <w:p w:rsidR="00580CF0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до практичних занять, виконання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індивідуального завдання) 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5 тиждень</w:t>
            </w:r>
          </w:p>
        </w:tc>
      </w:tr>
      <w:tr w:rsidR="00580CF0" w:rsidRPr="00EB0F12" w:rsidTr="00DB2B61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6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="00AA4F44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DB2B61" w:rsidRDefault="00580CF0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 тиждень</w:t>
            </w:r>
          </w:p>
        </w:tc>
      </w:tr>
      <w:tr w:rsidR="00580CF0" w:rsidRPr="00EB0F12" w:rsidTr="00DB2B61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7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EB0" w:rsidRPr="00743EB0" w:rsidRDefault="00743EB0" w:rsidP="00743EB0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4</w:t>
            </w:r>
            <w:r w:rsidRPr="00743EB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 ПЛАНУВАННЯ ФАНДРАЙЗИНГОВОЇ ДІЯЛЬНОСТІ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В БІЗНЕС- ТА ПУБЛІЧНОМУ СЕКТОРІ</w:t>
            </w:r>
          </w:p>
          <w:p w:rsidR="00743EB0" w:rsidRPr="00743EB0" w:rsidRDefault="00CE7899" w:rsidP="00743E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Модель планування фандрайзингу</w:t>
            </w:r>
          </w:p>
          <w:p w:rsidR="00743EB0" w:rsidRPr="00743EB0" w:rsidRDefault="00CE7899" w:rsidP="00743E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Концепція проекту</w:t>
            </w:r>
          </w:p>
          <w:p w:rsidR="00743EB0" w:rsidRPr="00743EB0" w:rsidRDefault="00743EB0" w:rsidP="00743E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43EB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Визначення очікуваних результатів, </w:t>
            </w:r>
            <w:r w:rsidR="00CE78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показників та ресурсів проекту</w:t>
            </w:r>
          </w:p>
          <w:p w:rsidR="00346C23" w:rsidRPr="00EB0F12" w:rsidRDefault="00743EB0" w:rsidP="00743E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43EB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Інструменти </w:t>
            </w:r>
            <w:r w:rsidR="00CE789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оцінки проектів (SMART, NAOMIE)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Навчально-методичні матеріали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DB2B61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DB2B61" w:rsidRDefault="00DB2B6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12-14, 20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AF6D3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</w:p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занять) 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580CF0" w:rsidRPr="00EB0F12" w:rsidTr="00DB2B61">
        <w:trPr>
          <w:trHeight w:val="1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DB2B61" w:rsidRDefault="00580CF0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580CF0" w:rsidRPr="00EB0F12" w:rsidTr="00DB2B61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9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4E" w:rsidRPr="00AD1E4E" w:rsidRDefault="002F3D9D" w:rsidP="00AD1E4E">
            <w:pPr>
              <w:pStyle w:val="Default"/>
              <w:rPr>
                <w:b/>
                <w:sz w:val="23"/>
                <w:szCs w:val="23"/>
              </w:rPr>
            </w:pPr>
            <w:r w:rsidRPr="00EB0F12">
              <w:rPr>
                <w:b/>
                <w:sz w:val="23"/>
                <w:szCs w:val="23"/>
              </w:rPr>
              <w:t>Тема 5</w:t>
            </w:r>
            <w:r w:rsidR="00A741CF">
              <w:rPr>
                <w:b/>
                <w:sz w:val="23"/>
                <w:szCs w:val="23"/>
              </w:rPr>
              <w:t>. С</w:t>
            </w:r>
            <w:r w:rsidR="00A741CF" w:rsidRPr="00AD1E4E">
              <w:rPr>
                <w:b/>
                <w:sz w:val="23"/>
                <w:szCs w:val="23"/>
              </w:rPr>
              <w:t xml:space="preserve">ТРАТЕГІЇ </w:t>
            </w:r>
            <w:r w:rsidR="00A741CF">
              <w:rPr>
                <w:b/>
                <w:sz w:val="23"/>
                <w:szCs w:val="23"/>
              </w:rPr>
              <w:t>ФАНДРЕЙЗИНГУ</w:t>
            </w:r>
          </w:p>
          <w:p w:rsidR="00A741CF" w:rsidRPr="00A741CF" w:rsidRDefault="00A741CF" w:rsidP="00AD1E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Роз</w:t>
            </w:r>
            <w:r w:rsidR="00AD1E4E" w:rsidRPr="00A741CF">
              <w:rPr>
                <w:sz w:val="23"/>
                <w:szCs w:val="23"/>
              </w:rPr>
              <w:t>р</w:t>
            </w:r>
            <w:r w:rsidR="00CE7899">
              <w:rPr>
                <w:sz w:val="23"/>
                <w:szCs w:val="23"/>
              </w:rPr>
              <w:t>облення стратегії фандрайзингу</w:t>
            </w:r>
          </w:p>
          <w:p w:rsidR="00AD1E4E" w:rsidRPr="00A741CF" w:rsidRDefault="00AD1E4E" w:rsidP="00AD1E4E">
            <w:pPr>
              <w:pStyle w:val="Default"/>
              <w:rPr>
                <w:sz w:val="23"/>
                <w:szCs w:val="23"/>
              </w:rPr>
            </w:pPr>
            <w:r w:rsidRPr="00A741CF">
              <w:rPr>
                <w:sz w:val="23"/>
                <w:szCs w:val="23"/>
              </w:rPr>
              <w:t xml:space="preserve">Вивчення </w:t>
            </w:r>
            <w:r w:rsidR="00A741CF" w:rsidRPr="00A741CF">
              <w:rPr>
                <w:sz w:val="23"/>
                <w:szCs w:val="23"/>
              </w:rPr>
              <w:t xml:space="preserve">фінансових </w:t>
            </w:r>
            <w:r w:rsidRPr="00A741CF">
              <w:rPr>
                <w:sz w:val="23"/>
                <w:szCs w:val="23"/>
              </w:rPr>
              <w:t>мож</w:t>
            </w:r>
            <w:r w:rsidR="00CE7899">
              <w:rPr>
                <w:sz w:val="23"/>
                <w:szCs w:val="23"/>
              </w:rPr>
              <w:t>ливостей підтримки власної ідеї</w:t>
            </w:r>
          </w:p>
          <w:p w:rsidR="00A741CF" w:rsidRPr="00A741CF" w:rsidRDefault="00CE7899" w:rsidP="00A74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Пошук додаткових джерел ресурсів</w:t>
            </w:r>
          </w:p>
          <w:p w:rsidR="00D34D37" w:rsidRPr="00EB0F12" w:rsidRDefault="00D34D37" w:rsidP="00AD1E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DB2B61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DB2B61" w:rsidRDefault="00DB2B6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16-19, 22, 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AF6D3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DE64F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завдань)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DE64FA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 тиждень</w:t>
            </w:r>
          </w:p>
        </w:tc>
      </w:tr>
      <w:tr w:rsidR="00580CF0" w:rsidRPr="00EB0F12" w:rsidTr="00DB2B61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10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580CF0" w:rsidRPr="00EB0F12" w:rsidRDefault="00580CF0" w:rsidP="00DE64F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DB2B61" w:rsidRDefault="00580CF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10 тиждень</w:t>
            </w:r>
          </w:p>
        </w:tc>
      </w:tr>
      <w:tr w:rsidR="00580CF0" w:rsidRPr="00EB0F12" w:rsidTr="00DB2B61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CF" w:rsidRPr="00A741CF" w:rsidRDefault="00416DAD" w:rsidP="00A741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 </w:t>
            </w:r>
            <w:r w:rsidR="0066595A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ПРАКТИЧНІ АСПЕКТИ </w:t>
            </w:r>
            <w:r w:rsidR="00A741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СКЛАДАННЯ Б</w:t>
            </w:r>
            <w:r w:rsidR="00A741CF" w:rsidRPr="00A741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ЮДЖЕТ</w:t>
            </w:r>
            <w:r w:rsidR="00A741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У</w:t>
            </w:r>
            <w:r w:rsidR="00A741CF" w:rsidRPr="00A741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="00A741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ПРОЕКТУ</w:t>
            </w:r>
            <w:r w:rsidR="002A29D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ТА ЗВІТНОСТІ</w:t>
            </w:r>
          </w:p>
          <w:p w:rsidR="00A741CF" w:rsidRPr="00A741CF" w:rsidRDefault="005355C9" w:rsidP="00A741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Ідея та б</w:t>
            </w:r>
            <w:r w:rsidR="00CE78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юджет проекту</w:t>
            </w:r>
          </w:p>
          <w:p w:rsidR="00A741CF" w:rsidRPr="00A741CF" w:rsidRDefault="00CE7899" w:rsidP="00A741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Види звітності</w:t>
            </w:r>
          </w:p>
          <w:p w:rsidR="00416DAD" w:rsidRPr="00A741CF" w:rsidRDefault="00A741CF" w:rsidP="00A741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Результат фандрайзингової ка</w:t>
            </w:r>
            <w:r w:rsidR="00CE78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мпанії</w:t>
            </w:r>
          </w:p>
          <w:p w:rsidR="002F3D9D" w:rsidRPr="00EB0F12" w:rsidRDefault="002F3D9D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2A29D6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DB2B61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DB2B61" w:rsidRDefault="00DB2B61" w:rsidP="00DB2B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3, 4, 8, 9 14, 15, 18, 21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AF6D3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домашніх завдань;</w:t>
            </w:r>
          </w:p>
          <w:p w:rsidR="00DE64FA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580CF0" w:rsidRPr="00EB0F12" w:rsidRDefault="00DE64FA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11 тиждень</w:t>
            </w:r>
            <w:r w:rsidRPr="00EB0F1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</w:tr>
      <w:tr w:rsidR="00580CF0" w:rsidRPr="00EB0F12" w:rsidTr="00DB2B61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12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робота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DB2B61" w:rsidRDefault="00580CF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12 тиждень</w:t>
            </w:r>
          </w:p>
        </w:tc>
      </w:tr>
      <w:tr w:rsidR="00580CF0" w:rsidRPr="00EB0F12" w:rsidTr="00DB2B61">
        <w:trPr>
          <w:trHeight w:val="1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13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AD" w:rsidRPr="00EB0F12" w:rsidRDefault="0066595A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7</w:t>
            </w:r>
            <w:r w:rsidR="00416DAD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. </w:t>
            </w:r>
            <w:r w:rsidR="008A3B1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ТЕХНОЛОГІЧНІ АСПЕКТИ СУЧАСНОГО ФАНДРЕЙЗИНГУ</w:t>
            </w:r>
          </w:p>
          <w:p w:rsidR="00D34D37" w:rsidRPr="008A3B14" w:rsidRDefault="008A3B14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8A3B14">
              <w:rPr>
                <w:sz w:val="23"/>
                <w:szCs w:val="23"/>
                <w:lang w:val="uk-UA"/>
              </w:rPr>
              <w:t>Ресурсно-орієнтований менеджмент у фандрейзингу</w:t>
            </w:r>
          </w:p>
          <w:p w:rsidR="008A3B14" w:rsidRPr="008A3B14" w:rsidRDefault="008A3B14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Корпоративний фандрейзинг</w:t>
            </w:r>
          </w:p>
          <w:p w:rsidR="008A3B14" w:rsidRPr="008A3B14" w:rsidRDefault="008A3B14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8A3B14">
              <w:rPr>
                <w:sz w:val="23"/>
                <w:szCs w:val="23"/>
                <w:lang w:val="uk-UA"/>
              </w:rPr>
              <w:t>Співпра</w:t>
            </w:r>
            <w:r>
              <w:rPr>
                <w:sz w:val="23"/>
                <w:szCs w:val="23"/>
                <w:lang w:val="uk-UA"/>
              </w:rPr>
              <w:t>ця із державними органами влади</w:t>
            </w:r>
          </w:p>
          <w:p w:rsidR="008A3B14" w:rsidRDefault="008A3B14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8A3B14">
              <w:rPr>
                <w:sz w:val="23"/>
                <w:szCs w:val="23"/>
                <w:lang w:val="uk-UA"/>
              </w:rPr>
              <w:t>Соціальне підприємництво</w:t>
            </w:r>
          </w:p>
          <w:p w:rsidR="008A3B14" w:rsidRPr="008A3B14" w:rsidRDefault="008A3B14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Використання </w:t>
            </w:r>
            <w:r>
              <w:rPr>
                <w:sz w:val="23"/>
                <w:szCs w:val="23"/>
                <w:lang w:val="en-US"/>
              </w:rPr>
              <w:t>PR-</w:t>
            </w:r>
            <w:r>
              <w:rPr>
                <w:sz w:val="23"/>
                <w:szCs w:val="23"/>
                <w:lang w:val="uk-UA"/>
              </w:rPr>
              <w:t>технологій</w:t>
            </w:r>
            <w:r w:rsidR="00A67F7A">
              <w:rPr>
                <w:sz w:val="23"/>
                <w:szCs w:val="23"/>
                <w:lang w:val="uk-UA"/>
              </w:rPr>
              <w:t xml:space="preserve"> у фандрейзингу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самостійна робота, дискусія</w:t>
            </w:r>
          </w:p>
          <w:p w:rsidR="00580CF0" w:rsidRPr="00EB0F12" w:rsidRDefault="00580CF0" w:rsidP="00767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DB2B61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DB2B61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13, 16, 21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)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13 тиждень</w:t>
            </w:r>
          </w:p>
        </w:tc>
      </w:tr>
      <w:tr w:rsidR="00580CF0" w:rsidRPr="00EB0F12" w:rsidTr="00DB2B61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14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580CF0" w:rsidRPr="00EB0F12" w:rsidRDefault="00580CF0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DB2B61" w:rsidRDefault="00580CF0" w:rsidP="00F024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14 тиждень</w:t>
            </w:r>
          </w:p>
        </w:tc>
      </w:tr>
      <w:tr w:rsidR="00580CF0" w:rsidRPr="00EB0F12" w:rsidTr="00DB2B61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15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AD" w:rsidRPr="00EB0F12" w:rsidRDefault="00DE64FA" w:rsidP="008A3B1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8</w:t>
            </w:r>
            <w:r w:rsidR="00416DAD"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. </w:t>
            </w:r>
            <w:r w:rsidR="006D06D8" w:rsidRPr="006D06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ФАНДРАЙЗИНГ: ПРИКЛАДИ УКРАЇНСЬКОЇ ТА МІЖНАРОДНОЇ ПРАКТИКИ</w:t>
            </w:r>
          </w:p>
          <w:p w:rsidR="00416DAD" w:rsidRDefault="008A3B14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Фандрейзинг в країнах Північної Америки</w:t>
            </w:r>
          </w:p>
          <w:p w:rsidR="008A3B14" w:rsidRDefault="008A3B14" w:rsidP="008A3B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Фандрейзинг в країнах ЄС</w:t>
            </w:r>
          </w:p>
          <w:p w:rsidR="00A67F7A" w:rsidRPr="00EB0F12" w:rsidRDefault="008A3B14" w:rsidP="008A3B1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Розвиток фандрейзингу </w:t>
            </w:r>
            <w:r w:rsidR="00A67F7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 Україні: історія та перспективи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580CF0" w:rsidRPr="00EB0F12" w:rsidRDefault="00580CF0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DB2B61" w:rsidRDefault="00580CF0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580CF0" w:rsidRPr="00DB2B61" w:rsidRDefault="00EB0F12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DB2B6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16, 20-23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передбачені для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самостійного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141FDB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</w:p>
          <w:p w:rsidR="00580CF0" w:rsidRPr="00EB0F12" w:rsidRDefault="00141FDB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 w:rsidR="00580CF0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) 7,25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15 тиждень</w:t>
            </w:r>
          </w:p>
        </w:tc>
      </w:tr>
      <w:tr w:rsidR="00580CF0" w:rsidRPr="00EB0F12" w:rsidTr="00DB2B61">
        <w:trPr>
          <w:trHeight w:val="1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16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580CF0" w:rsidRPr="00EB0F12" w:rsidRDefault="00580CF0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580CF0" w:rsidRPr="00EB0F12" w:rsidRDefault="00580CF0" w:rsidP="009301E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146771" w:rsidRDefault="00580CF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F0" w:rsidRPr="00EB0F12" w:rsidRDefault="00580CF0" w:rsidP="0023406D">
            <w:pPr>
              <w:spacing w:after="16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 тиждень</w:t>
            </w:r>
          </w:p>
        </w:tc>
      </w:tr>
      <w:tr w:rsidR="00D34D37" w:rsidRPr="00EB0F12" w:rsidTr="00DB2B61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32: 16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л + 16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пр. занять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146771" w:rsidRDefault="00D34D37" w:rsidP="00EB0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Залік</w:t>
            </w:r>
          </w:p>
        </w:tc>
      </w:tr>
    </w:tbl>
    <w:p w:rsidR="004D55BC" w:rsidRPr="00EB0F12" w:rsidRDefault="004D55BC" w:rsidP="00E14D9B">
      <w:pPr>
        <w:pStyle w:val="Default"/>
        <w:rPr>
          <w:sz w:val="23"/>
          <w:szCs w:val="23"/>
        </w:rPr>
      </w:pPr>
    </w:p>
    <w:sectPr w:rsidR="004D55BC" w:rsidRPr="00EB0F12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2B" w:rsidRDefault="00FE3A2B" w:rsidP="00C375FC">
      <w:pPr>
        <w:spacing w:line="240" w:lineRule="auto"/>
      </w:pPr>
      <w:r>
        <w:separator/>
      </w:r>
    </w:p>
  </w:endnote>
  <w:endnote w:type="continuationSeparator" w:id="0">
    <w:p w:rsidR="00FE3A2B" w:rsidRDefault="00FE3A2B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2B" w:rsidRDefault="00FE3A2B" w:rsidP="00C375FC">
      <w:pPr>
        <w:spacing w:line="240" w:lineRule="auto"/>
      </w:pPr>
      <w:r>
        <w:separator/>
      </w:r>
    </w:p>
  </w:footnote>
  <w:footnote w:type="continuationSeparator" w:id="0">
    <w:p w:rsidR="00FE3A2B" w:rsidRDefault="00FE3A2B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31F"/>
    <w:multiLevelType w:val="hybridMultilevel"/>
    <w:tmpl w:val="82406BE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327"/>
    <w:multiLevelType w:val="hybridMultilevel"/>
    <w:tmpl w:val="560EA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F32"/>
    <w:multiLevelType w:val="hybridMultilevel"/>
    <w:tmpl w:val="F76C9F2E"/>
    <w:lvl w:ilvl="0" w:tplc="0F2EA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1867"/>
    <w:rsid w:val="00012E5D"/>
    <w:rsid w:val="0001451D"/>
    <w:rsid w:val="00014DB3"/>
    <w:rsid w:val="00036917"/>
    <w:rsid w:val="000625A0"/>
    <w:rsid w:val="00064527"/>
    <w:rsid w:val="00083E3D"/>
    <w:rsid w:val="000869D8"/>
    <w:rsid w:val="000A22F4"/>
    <w:rsid w:val="000B267E"/>
    <w:rsid w:val="000E69BD"/>
    <w:rsid w:val="001021B2"/>
    <w:rsid w:val="00102E6A"/>
    <w:rsid w:val="00110B9E"/>
    <w:rsid w:val="00141FDB"/>
    <w:rsid w:val="00146771"/>
    <w:rsid w:val="0016301D"/>
    <w:rsid w:val="0019622D"/>
    <w:rsid w:val="001B328C"/>
    <w:rsid w:val="001C1E3A"/>
    <w:rsid w:val="001E5C40"/>
    <w:rsid w:val="001F0AE4"/>
    <w:rsid w:val="001F7096"/>
    <w:rsid w:val="0021358B"/>
    <w:rsid w:val="0022487C"/>
    <w:rsid w:val="00225C01"/>
    <w:rsid w:val="00225D37"/>
    <w:rsid w:val="0023406D"/>
    <w:rsid w:val="00237C02"/>
    <w:rsid w:val="00240C75"/>
    <w:rsid w:val="00243DBB"/>
    <w:rsid w:val="0024698D"/>
    <w:rsid w:val="002478F2"/>
    <w:rsid w:val="002608A2"/>
    <w:rsid w:val="002701BF"/>
    <w:rsid w:val="00281AC1"/>
    <w:rsid w:val="00285329"/>
    <w:rsid w:val="0029450A"/>
    <w:rsid w:val="002A29D6"/>
    <w:rsid w:val="002E28F0"/>
    <w:rsid w:val="002E2D78"/>
    <w:rsid w:val="002E6018"/>
    <w:rsid w:val="002E6329"/>
    <w:rsid w:val="002F3AB1"/>
    <w:rsid w:val="002F3D9D"/>
    <w:rsid w:val="0030093A"/>
    <w:rsid w:val="00310ACF"/>
    <w:rsid w:val="003114C7"/>
    <w:rsid w:val="00321333"/>
    <w:rsid w:val="0033153D"/>
    <w:rsid w:val="00335E46"/>
    <w:rsid w:val="00340AE1"/>
    <w:rsid w:val="00346C23"/>
    <w:rsid w:val="00361F6A"/>
    <w:rsid w:val="00366505"/>
    <w:rsid w:val="00371F6E"/>
    <w:rsid w:val="00387C5F"/>
    <w:rsid w:val="0039577B"/>
    <w:rsid w:val="003A348E"/>
    <w:rsid w:val="003B0F5E"/>
    <w:rsid w:val="003C2EC2"/>
    <w:rsid w:val="003C52EF"/>
    <w:rsid w:val="003D186D"/>
    <w:rsid w:val="003F1B47"/>
    <w:rsid w:val="003F1B79"/>
    <w:rsid w:val="00400EA6"/>
    <w:rsid w:val="00403F89"/>
    <w:rsid w:val="00416DAD"/>
    <w:rsid w:val="00436183"/>
    <w:rsid w:val="00464B4D"/>
    <w:rsid w:val="00474CB6"/>
    <w:rsid w:val="004977F2"/>
    <w:rsid w:val="004B7079"/>
    <w:rsid w:val="004C7D6D"/>
    <w:rsid w:val="004D55BC"/>
    <w:rsid w:val="004E1F2C"/>
    <w:rsid w:val="005032F4"/>
    <w:rsid w:val="00520A4F"/>
    <w:rsid w:val="005355C9"/>
    <w:rsid w:val="00552A4B"/>
    <w:rsid w:val="005649F0"/>
    <w:rsid w:val="005653C0"/>
    <w:rsid w:val="00565895"/>
    <w:rsid w:val="00567EB3"/>
    <w:rsid w:val="00573458"/>
    <w:rsid w:val="00580CF0"/>
    <w:rsid w:val="00592C62"/>
    <w:rsid w:val="005A4A44"/>
    <w:rsid w:val="005B2722"/>
    <w:rsid w:val="005B40D5"/>
    <w:rsid w:val="005C1D2D"/>
    <w:rsid w:val="00605B70"/>
    <w:rsid w:val="006205C4"/>
    <w:rsid w:val="006259DA"/>
    <w:rsid w:val="0063084F"/>
    <w:rsid w:val="00630F7D"/>
    <w:rsid w:val="00656C93"/>
    <w:rsid w:val="00664971"/>
    <w:rsid w:val="0066595A"/>
    <w:rsid w:val="006753BD"/>
    <w:rsid w:val="00682408"/>
    <w:rsid w:val="0069375D"/>
    <w:rsid w:val="006A2B0B"/>
    <w:rsid w:val="006B459F"/>
    <w:rsid w:val="006C1B13"/>
    <w:rsid w:val="006C49E2"/>
    <w:rsid w:val="006D06D8"/>
    <w:rsid w:val="006D48C9"/>
    <w:rsid w:val="006E45A8"/>
    <w:rsid w:val="006F3D26"/>
    <w:rsid w:val="00731FE7"/>
    <w:rsid w:val="007364D9"/>
    <w:rsid w:val="00742E1B"/>
    <w:rsid w:val="00743EB0"/>
    <w:rsid w:val="00753405"/>
    <w:rsid w:val="00767BF6"/>
    <w:rsid w:val="00774B86"/>
    <w:rsid w:val="007946C5"/>
    <w:rsid w:val="007A14A9"/>
    <w:rsid w:val="007A44FB"/>
    <w:rsid w:val="007B2741"/>
    <w:rsid w:val="007C2724"/>
    <w:rsid w:val="007F3495"/>
    <w:rsid w:val="00814E02"/>
    <w:rsid w:val="00815FA6"/>
    <w:rsid w:val="00834273"/>
    <w:rsid w:val="00845FE8"/>
    <w:rsid w:val="00851260"/>
    <w:rsid w:val="0086529A"/>
    <w:rsid w:val="00876790"/>
    <w:rsid w:val="008A3B14"/>
    <w:rsid w:val="008A720C"/>
    <w:rsid w:val="008B1F43"/>
    <w:rsid w:val="008B45E3"/>
    <w:rsid w:val="008C1A17"/>
    <w:rsid w:val="008C2CF9"/>
    <w:rsid w:val="008D5221"/>
    <w:rsid w:val="008F1550"/>
    <w:rsid w:val="00907F60"/>
    <w:rsid w:val="009249A2"/>
    <w:rsid w:val="009252BD"/>
    <w:rsid w:val="009301EA"/>
    <w:rsid w:val="00961E72"/>
    <w:rsid w:val="00975B23"/>
    <w:rsid w:val="009A6E90"/>
    <w:rsid w:val="009B12B4"/>
    <w:rsid w:val="009B7353"/>
    <w:rsid w:val="009C35AF"/>
    <w:rsid w:val="009E1578"/>
    <w:rsid w:val="009E6718"/>
    <w:rsid w:val="009F5B64"/>
    <w:rsid w:val="00A042B3"/>
    <w:rsid w:val="00A12724"/>
    <w:rsid w:val="00A175E4"/>
    <w:rsid w:val="00A53FB4"/>
    <w:rsid w:val="00A67199"/>
    <w:rsid w:val="00A67F7A"/>
    <w:rsid w:val="00A70118"/>
    <w:rsid w:val="00A704AD"/>
    <w:rsid w:val="00A735DE"/>
    <w:rsid w:val="00A741CF"/>
    <w:rsid w:val="00AA4F44"/>
    <w:rsid w:val="00AB434C"/>
    <w:rsid w:val="00AD1E4E"/>
    <w:rsid w:val="00AF6D35"/>
    <w:rsid w:val="00B05192"/>
    <w:rsid w:val="00B06047"/>
    <w:rsid w:val="00B07377"/>
    <w:rsid w:val="00B10523"/>
    <w:rsid w:val="00B2200A"/>
    <w:rsid w:val="00B333B0"/>
    <w:rsid w:val="00B403C6"/>
    <w:rsid w:val="00B54551"/>
    <w:rsid w:val="00B667E2"/>
    <w:rsid w:val="00B87715"/>
    <w:rsid w:val="00B90181"/>
    <w:rsid w:val="00BA5BCF"/>
    <w:rsid w:val="00BA7C12"/>
    <w:rsid w:val="00BB382B"/>
    <w:rsid w:val="00BC2CBE"/>
    <w:rsid w:val="00C22682"/>
    <w:rsid w:val="00C23A7B"/>
    <w:rsid w:val="00C24802"/>
    <w:rsid w:val="00C375FC"/>
    <w:rsid w:val="00C55A38"/>
    <w:rsid w:val="00C74654"/>
    <w:rsid w:val="00C800D4"/>
    <w:rsid w:val="00C90529"/>
    <w:rsid w:val="00C93BF4"/>
    <w:rsid w:val="00CC6B0C"/>
    <w:rsid w:val="00CE7899"/>
    <w:rsid w:val="00CF0826"/>
    <w:rsid w:val="00D044D0"/>
    <w:rsid w:val="00D10D92"/>
    <w:rsid w:val="00D12759"/>
    <w:rsid w:val="00D2229A"/>
    <w:rsid w:val="00D25A5C"/>
    <w:rsid w:val="00D27CA3"/>
    <w:rsid w:val="00D300F8"/>
    <w:rsid w:val="00D327B3"/>
    <w:rsid w:val="00D34D37"/>
    <w:rsid w:val="00D354CE"/>
    <w:rsid w:val="00D51BE0"/>
    <w:rsid w:val="00D54914"/>
    <w:rsid w:val="00D747CC"/>
    <w:rsid w:val="00D76410"/>
    <w:rsid w:val="00D82F43"/>
    <w:rsid w:val="00D86940"/>
    <w:rsid w:val="00DB18CC"/>
    <w:rsid w:val="00DB2680"/>
    <w:rsid w:val="00DB2B61"/>
    <w:rsid w:val="00DC0FE0"/>
    <w:rsid w:val="00DD7B11"/>
    <w:rsid w:val="00DE26B0"/>
    <w:rsid w:val="00DE64FA"/>
    <w:rsid w:val="00DE7E4F"/>
    <w:rsid w:val="00E054DF"/>
    <w:rsid w:val="00E104BB"/>
    <w:rsid w:val="00E14D9B"/>
    <w:rsid w:val="00E16B57"/>
    <w:rsid w:val="00E31829"/>
    <w:rsid w:val="00E36686"/>
    <w:rsid w:val="00E4080F"/>
    <w:rsid w:val="00E57C0B"/>
    <w:rsid w:val="00E774DF"/>
    <w:rsid w:val="00E929B0"/>
    <w:rsid w:val="00E94BF0"/>
    <w:rsid w:val="00EA2235"/>
    <w:rsid w:val="00EA354E"/>
    <w:rsid w:val="00EA4FBA"/>
    <w:rsid w:val="00EA7AEB"/>
    <w:rsid w:val="00EB0F12"/>
    <w:rsid w:val="00EB7B4D"/>
    <w:rsid w:val="00EC03E8"/>
    <w:rsid w:val="00EC4B19"/>
    <w:rsid w:val="00EC5B44"/>
    <w:rsid w:val="00EC753F"/>
    <w:rsid w:val="00F02421"/>
    <w:rsid w:val="00F11E6E"/>
    <w:rsid w:val="00F22075"/>
    <w:rsid w:val="00F55185"/>
    <w:rsid w:val="00F63CE2"/>
    <w:rsid w:val="00F8004A"/>
    <w:rsid w:val="00F82CA6"/>
    <w:rsid w:val="00F91286"/>
    <w:rsid w:val="00FE3A2B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1DA8C-7074-4F2E-B88E-C3CE86C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customStyle="1" w:styleId="docdata">
    <w:name w:val="docdata"/>
    <w:aliases w:val="docy,v5,3166,baiaagaaboqcaaadaaqaaauicaaaaaaaaaaaaaaaaaaaaaaaaaaaaaaaaaaaaaaaaaaaaaaaaaaaaaaaaaaaaaaaaaaaaaaaaaaaaaaaaaaaaaaaaaaaaaaaaaaaaaaaaaaaaaaaaaaaaaaaaaaaaaaaaaaaaaaaaaaaaaaaaaaaaaaaaaaaaaaaaaaaaaaaaaaaaaaaaaaaaaaaaaaaaaaaaaaaaaaaaaaaaaaa"/>
    <w:basedOn w:val="a0"/>
    <w:rsid w:val="00EC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s://www.sciencedirect.com/science/journal/016792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pmi.com/download-project-manager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raisinginf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dss.2019.113170" TargetMode="External"/><Relationship Id="rId10" Type="http://schemas.openxmlformats.org/officeDocument/2006/relationships/hyperlink" Target="http://www.cfin.ru/investor/venture/crowd_fundin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.eg/books?id=k1afDwAA" TargetMode="External"/><Relationship Id="rId14" Type="http://schemas.openxmlformats.org/officeDocument/2006/relationships/hyperlink" Target="https://www.sciencedirect.com/science/journal/01679236/129/supp/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ABAE-724B-4612-BB64-DB727637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10890</Words>
  <Characters>6208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cp:lastPrinted>2021-02-10T01:34:00Z</cp:lastPrinted>
  <dcterms:created xsi:type="dcterms:W3CDTF">2021-03-09T10:58:00Z</dcterms:created>
  <dcterms:modified xsi:type="dcterms:W3CDTF">2021-03-09T10:58:00Z</dcterms:modified>
</cp:coreProperties>
</file>