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drawing>
          <wp:inline distT="0" distB="0" distL="0" distR="0">
            <wp:extent cx="6454140" cy="93878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454140" cy="9387840"/>
                    </a:xfrm>
                    <a:prstGeom prst="rect">
                      <a:avLst/>
                    </a:prstGeom>
                    <a:noFill/>
                    <a:ln>
                      <a:noFill/>
                    </a:ln>
                  </pic:spPr>
                </pic:pic>
              </a:graphicData>
            </a:graphic>
          </wp:inline>
        </w:drawing>
      </w:r>
    </w:p>
    <w:p>
      <w:pPr>
        <w:spacing w:after="200"/>
        <w:rPr>
          <w:lang w:val="uk-UA"/>
        </w:rPr>
      </w:pPr>
      <w:r>
        <w:rPr>
          <w:lang w:val="uk-UA"/>
        </w:rPr>
        <w:br w:type="page"/>
      </w:r>
    </w:p>
    <w:tbl>
      <w:tblPr>
        <w:tblStyle w:val="4"/>
        <w:tblW w:w="10460" w:type="dxa"/>
        <w:tblInd w:w="20" w:type="dxa"/>
        <w:tblLayout w:type="fixed"/>
        <w:tblCellMar>
          <w:top w:w="100" w:type="dxa"/>
          <w:left w:w="100" w:type="dxa"/>
          <w:bottom w:w="100" w:type="dxa"/>
          <w:right w:w="100" w:type="dxa"/>
        </w:tblCellMar>
      </w:tblPr>
      <w:tblGrid>
        <w:gridCol w:w="2805"/>
        <w:gridCol w:w="7655"/>
      </w:tblGrid>
      <w:tr>
        <w:trPr>
          <w:trHeight w:val="672"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Назва дисципліни</w:t>
            </w:r>
          </w:p>
        </w:tc>
        <w:tc>
          <w:tcPr>
            <w:tcW w:w="7655" w:type="dxa"/>
            <w:tcBorders>
              <w:top w:val="single" w:color="000000" w:sz="8" w:space="0"/>
              <w:bottom w:val="single" w:color="000000" w:sz="8" w:space="0"/>
              <w:right w:val="single" w:color="000000" w:sz="8" w:space="0"/>
            </w:tcBorders>
            <w:tcMar>
              <w:top w:w="100" w:type="dxa"/>
              <w:bottom w:w="100" w:type="dxa"/>
            </w:tcMar>
          </w:tcPr>
          <w:p>
            <w:pPr>
              <w:tabs>
                <w:tab w:val="left" w:pos="2460"/>
              </w:tabs>
              <w:rPr>
                <w:rFonts w:ascii="Times New Roman" w:hAnsi="Times New Roman" w:cs="Times New Roman"/>
                <w:sz w:val="24"/>
                <w:szCs w:val="24"/>
                <w:lang w:val="uk-UA"/>
              </w:rPr>
            </w:pPr>
            <w:r>
              <w:rPr>
                <w:rFonts w:ascii="Times New Roman" w:hAnsi="Times New Roman" w:cs="Times New Roman"/>
                <w:sz w:val="24"/>
                <w:szCs w:val="24"/>
                <w:lang w:val="uk-UA"/>
              </w:rPr>
              <w:t>ПЛАТІЖНІ СИСТЕМИ І ТЕХНОЛОГІЇ</w:t>
            </w:r>
          </w:p>
        </w:tc>
      </w:tr>
      <w:tr>
        <w:tblPrEx>
          <w:tblCellMar>
            <w:top w:w="100" w:type="dxa"/>
            <w:left w:w="100" w:type="dxa"/>
            <w:bottom w:w="100" w:type="dxa"/>
            <w:right w:w="100" w:type="dxa"/>
          </w:tblCellMar>
        </w:tblPrEx>
        <w:trPr>
          <w:trHeight w:val="502"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Адреса викладання дисципліни</w:t>
            </w:r>
          </w:p>
        </w:tc>
        <w:tc>
          <w:tcPr>
            <w:tcW w:w="7655" w:type="dxa"/>
            <w:tcBorders>
              <w:top w:val="single" w:color="000000" w:sz="8" w:space="0"/>
              <w:bottom w:val="single" w:color="000000" w:sz="8" w:space="0"/>
              <w:right w:val="single" w:color="000000" w:sz="8" w:space="0"/>
            </w:tcBorders>
            <w:tcMar>
              <w:top w:w="100" w:type="dxa"/>
              <w:bottom w:w="100" w:type="dxa"/>
            </w:tcMar>
          </w:tcPr>
          <w:p>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м. Львів, пр. Свободи, 18</w:t>
            </w:r>
          </w:p>
        </w:tc>
      </w:tr>
      <w:tr>
        <w:tblPrEx>
          <w:tblCellMar>
            <w:top w:w="100" w:type="dxa"/>
            <w:left w:w="100" w:type="dxa"/>
            <w:bottom w:w="100" w:type="dxa"/>
            <w:right w:w="100" w:type="dxa"/>
          </w:tblCellMar>
        </w:tblPrEx>
        <w:trPr>
          <w:trHeight w:val="502"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Факультет та кафедра, за якою закріплена дисципліна</w:t>
            </w:r>
          </w:p>
        </w:tc>
        <w:tc>
          <w:tcPr>
            <w:tcW w:w="7655" w:type="dxa"/>
            <w:tcBorders>
              <w:top w:val="single" w:color="000000" w:sz="8" w:space="0"/>
              <w:bottom w:val="single" w:color="000000" w:sz="8" w:space="0"/>
              <w:right w:val="single" w:color="000000" w:sz="8" w:space="0"/>
            </w:tcBorders>
            <w:tcMar>
              <w:top w:w="100" w:type="dxa"/>
              <w:bottom w:w="100" w:type="dxa"/>
            </w:tcMar>
          </w:tcPr>
          <w:p>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Економічний факультет</w:t>
            </w:r>
          </w:p>
          <w:p>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Кафедра фінансів, грошового обігу і кредиту</w:t>
            </w:r>
          </w:p>
        </w:tc>
      </w:tr>
      <w:tr>
        <w:tblPrEx>
          <w:tblCellMar>
            <w:top w:w="100" w:type="dxa"/>
            <w:left w:w="100" w:type="dxa"/>
            <w:bottom w:w="100" w:type="dxa"/>
            <w:right w:w="100" w:type="dxa"/>
          </w:tblCellMar>
        </w:tblPrEx>
        <w:trPr>
          <w:trHeight w:val="502"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Галузь знань, шифр та назва спеціальності</w:t>
            </w:r>
          </w:p>
        </w:tc>
        <w:tc>
          <w:tcPr>
            <w:tcW w:w="7655" w:type="dxa"/>
            <w:tcBorders>
              <w:top w:val="single" w:color="000000" w:sz="8" w:space="0"/>
              <w:bottom w:val="single" w:color="000000" w:sz="8" w:space="0"/>
              <w:right w:val="single" w:color="000000" w:sz="8" w:space="0"/>
            </w:tcBorders>
            <w:tcMar>
              <w:top w:w="100" w:type="dxa"/>
              <w:bottom w:w="100" w:type="dxa"/>
            </w:tcMar>
          </w:tcPr>
          <w:p>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07 «Управління та адміністрування»; 072 «Фінанси, банківська справа та страхування»</w:t>
            </w:r>
          </w:p>
        </w:tc>
      </w:tr>
      <w:tr>
        <w:tblPrEx>
          <w:tblCellMar>
            <w:top w:w="100" w:type="dxa"/>
            <w:left w:w="100" w:type="dxa"/>
            <w:bottom w:w="100" w:type="dxa"/>
            <w:right w:w="100" w:type="dxa"/>
          </w:tblCellMar>
        </w:tblPrEx>
        <w:trPr>
          <w:trHeight w:val="340" w:hRule="atLeast"/>
        </w:trPr>
        <w:tc>
          <w:tcPr>
            <w:tcW w:w="2805" w:type="dxa"/>
            <w:tcBorders>
              <w:left w:val="single" w:color="000000" w:sz="8" w:space="0"/>
              <w:bottom w:val="single" w:color="000000" w:sz="8" w:space="0"/>
              <w:right w:val="single" w:color="000000" w:sz="8" w:space="0"/>
            </w:tcBorders>
            <w:tcMar>
              <w:top w:w="100" w:type="dxa"/>
              <w:left w:w="120" w:type="dxa"/>
              <w:bottom w:w="100" w:type="dxa"/>
              <w:right w:w="120" w:type="dxa"/>
            </w:tcMar>
          </w:tcPr>
          <w:p>
            <w:pPr>
              <w:widowControl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Викладач дисципліни</w:t>
            </w:r>
          </w:p>
        </w:tc>
        <w:tc>
          <w:tcPr>
            <w:tcW w:w="7655" w:type="dxa"/>
            <w:tcBorders>
              <w:bottom w:val="single" w:color="000000" w:sz="8" w:space="0"/>
              <w:right w:val="single" w:color="000000" w:sz="8" w:space="0"/>
            </w:tcBorders>
            <w:tcMar>
              <w:top w:w="100" w:type="dxa"/>
              <w:bottom w:w="100" w:type="dxa"/>
            </w:tcMar>
          </w:tcPr>
          <w:p>
            <w:pPr>
              <w:widowControl w:val="0"/>
              <w:spacing w:line="240" w:lineRule="auto"/>
              <w:rPr>
                <w:rFonts w:ascii="Times New Roman" w:hAnsi="Times New Roman" w:cs="Times New Roman"/>
                <w:sz w:val="24"/>
                <w:szCs w:val="24"/>
                <w:lang w:val="uk-UA"/>
              </w:rPr>
            </w:pPr>
            <w:r>
              <w:rPr>
                <w:rFonts w:ascii="Times New Roman" w:hAnsi="Times New Roman" w:cs="Times New Roman"/>
                <w:i/>
                <w:iCs/>
                <w:sz w:val="24"/>
                <w:szCs w:val="24"/>
                <w:lang w:val="uk-UA"/>
              </w:rPr>
              <w:t>Вишивана Богдана Михайлівна</w:t>
            </w:r>
            <w:r>
              <w:rPr>
                <w:rFonts w:ascii="Times New Roman" w:hAnsi="Times New Roman" w:cs="Times New Roman"/>
                <w:sz w:val="24"/>
                <w:szCs w:val="24"/>
                <w:lang w:val="uk-UA"/>
              </w:rPr>
              <w:t>, к.е.н., доцент, доцент кафедри фінансів, грошового обігу і кредиту;</w:t>
            </w:r>
          </w:p>
        </w:tc>
      </w:tr>
      <w:tr>
        <w:tblPrEx>
          <w:tblCellMar>
            <w:top w:w="100" w:type="dxa"/>
            <w:left w:w="100" w:type="dxa"/>
            <w:bottom w:w="100" w:type="dxa"/>
            <w:right w:w="100" w:type="dxa"/>
          </w:tblCellMar>
        </w:tblPrEx>
        <w:trPr>
          <w:trHeight w:val="540" w:hRule="atLeast"/>
        </w:trPr>
        <w:tc>
          <w:tcPr>
            <w:tcW w:w="2805" w:type="dxa"/>
            <w:tcBorders>
              <w:left w:val="single" w:color="000000" w:sz="8" w:space="0"/>
              <w:bottom w:val="single" w:color="000000" w:sz="8" w:space="0"/>
              <w:right w:val="single" w:color="000000" w:sz="8" w:space="0"/>
            </w:tcBorders>
            <w:tcMar>
              <w:top w:w="100" w:type="dxa"/>
              <w:left w:w="120" w:type="dxa"/>
              <w:bottom w:w="100" w:type="dxa"/>
              <w:right w:w="120" w:type="dxa"/>
            </w:tcMar>
          </w:tcPr>
          <w:p>
            <w:pPr>
              <w:widowControl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Контактна інформація викладача</w:t>
            </w:r>
          </w:p>
        </w:tc>
        <w:tc>
          <w:tcPr>
            <w:tcW w:w="7655" w:type="dxa"/>
            <w:tcBorders>
              <w:bottom w:val="single" w:color="000000" w:sz="8" w:space="0"/>
              <w:right w:val="single" w:color="000000" w:sz="8" w:space="0"/>
            </w:tcBorders>
            <w:tcMar>
              <w:top w:w="100" w:type="dxa"/>
              <w:bottom w:w="100" w:type="dxa"/>
            </w:tcMar>
          </w:tcPr>
          <w:p>
            <w:pPr>
              <w:widowControl w:val="0"/>
              <w:spacing w:line="240" w:lineRule="auto"/>
              <w:ind w:firstLine="4"/>
              <w:rPr>
                <w:rFonts w:ascii="Times New Roman" w:hAnsi="Times New Roman" w:cs="Times New Roman"/>
                <w:sz w:val="24"/>
                <w:szCs w:val="24"/>
                <w:lang w:val="uk-UA"/>
              </w:rPr>
            </w:pPr>
            <w:r>
              <w:fldChar w:fldCharType="begin"/>
            </w:r>
            <w:r>
              <w:instrText xml:space="preserve"> HYPERLINK "mailto:bohdana.vyshyvana@lnu.edu.ua" </w:instrText>
            </w:r>
            <w:r>
              <w:fldChar w:fldCharType="separate"/>
            </w:r>
            <w:r>
              <w:rPr>
                <w:rStyle w:val="6"/>
                <w:rFonts w:ascii="Times New Roman" w:hAnsi="Times New Roman"/>
                <w:sz w:val="24"/>
                <w:szCs w:val="24"/>
                <w:lang w:val="en-US"/>
              </w:rPr>
              <w:t>bohdana</w:t>
            </w:r>
            <w:r>
              <w:rPr>
                <w:rStyle w:val="6"/>
                <w:rFonts w:ascii="Times New Roman" w:hAnsi="Times New Roman"/>
                <w:sz w:val="24"/>
                <w:szCs w:val="24"/>
                <w:lang w:val="uk-UA"/>
              </w:rPr>
              <w:t>.</w:t>
            </w:r>
            <w:r>
              <w:rPr>
                <w:rStyle w:val="6"/>
                <w:rFonts w:ascii="Times New Roman" w:hAnsi="Times New Roman"/>
                <w:sz w:val="24"/>
                <w:szCs w:val="24"/>
                <w:lang w:val="en-US"/>
              </w:rPr>
              <w:t>vyshyvana</w:t>
            </w:r>
            <w:r>
              <w:rPr>
                <w:rStyle w:val="6"/>
                <w:rFonts w:ascii="Times New Roman" w:hAnsi="Times New Roman"/>
                <w:sz w:val="24"/>
                <w:szCs w:val="24"/>
                <w:lang w:val="uk-UA"/>
              </w:rPr>
              <w:t>@</w:t>
            </w:r>
            <w:r>
              <w:rPr>
                <w:rStyle w:val="6"/>
                <w:rFonts w:ascii="Times New Roman" w:hAnsi="Times New Roman"/>
                <w:sz w:val="24"/>
                <w:szCs w:val="24"/>
                <w:lang w:val="en-US"/>
              </w:rPr>
              <w:t>lnu</w:t>
            </w:r>
            <w:r>
              <w:rPr>
                <w:rStyle w:val="6"/>
                <w:rFonts w:ascii="Times New Roman" w:hAnsi="Times New Roman"/>
                <w:sz w:val="24"/>
                <w:szCs w:val="24"/>
                <w:lang w:val="uk-UA"/>
              </w:rPr>
              <w:t>.</w:t>
            </w:r>
            <w:r>
              <w:rPr>
                <w:rStyle w:val="6"/>
                <w:rFonts w:ascii="Times New Roman" w:hAnsi="Times New Roman"/>
                <w:sz w:val="24"/>
                <w:szCs w:val="24"/>
                <w:lang w:val="en-US"/>
              </w:rPr>
              <w:t>edu</w:t>
            </w:r>
            <w:r>
              <w:rPr>
                <w:rStyle w:val="6"/>
                <w:rFonts w:ascii="Times New Roman" w:hAnsi="Times New Roman"/>
                <w:sz w:val="24"/>
                <w:szCs w:val="24"/>
                <w:lang w:val="uk-UA"/>
              </w:rPr>
              <w:t>.</w:t>
            </w:r>
            <w:r>
              <w:rPr>
                <w:rStyle w:val="6"/>
                <w:rFonts w:ascii="Times New Roman" w:hAnsi="Times New Roman"/>
                <w:sz w:val="24"/>
                <w:szCs w:val="24"/>
                <w:lang w:val="en-US"/>
              </w:rPr>
              <w:t>ua</w:t>
            </w:r>
            <w:r>
              <w:rPr>
                <w:rStyle w:val="6"/>
                <w:rFonts w:ascii="Times New Roman" w:hAnsi="Times New Roman"/>
                <w:sz w:val="24"/>
                <w:szCs w:val="24"/>
                <w:lang w:val="en-US"/>
              </w:rPr>
              <w:fldChar w:fldCharType="end"/>
            </w:r>
            <w:r>
              <w:rPr>
                <w:rStyle w:val="6"/>
                <w:rFonts w:ascii="Times New Roman" w:hAnsi="Times New Roman"/>
                <w:sz w:val="24"/>
                <w:szCs w:val="24"/>
                <w:lang w:val="uk-UA"/>
              </w:rPr>
              <w:t>;</w:t>
            </w:r>
          </w:p>
          <w:p>
            <w:pPr>
              <w:widowControl w:val="0"/>
              <w:spacing w:line="240" w:lineRule="auto"/>
              <w:ind w:firstLine="4"/>
              <w:rPr>
                <w:rFonts w:ascii="Times New Roman" w:hAnsi="Times New Roman" w:cs="Times New Roman"/>
                <w:sz w:val="24"/>
                <w:szCs w:val="24"/>
                <w:lang w:val="uk-UA"/>
              </w:rPr>
            </w:pPr>
            <w:r>
              <w:fldChar w:fldCharType="begin"/>
            </w:r>
            <w:r>
              <w:instrText xml:space="preserve"> HYPERLINK "https://econom.lnu.edu.ua/employee/vyshyvana-b-m" </w:instrText>
            </w:r>
            <w:r>
              <w:fldChar w:fldCharType="separate"/>
            </w:r>
            <w:r>
              <w:rPr>
                <w:rStyle w:val="5"/>
                <w:rFonts w:ascii="Times New Roman" w:hAnsi="Times New Roman"/>
                <w:sz w:val="24"/>
                <w:szCs w:val="24"/>
                <w:lang w:val="uk-UA"/>
              </w:rPr>
              <w:t>https://econom.lnu.edu.ua/employee/vyshyvana-b-m</w:t>
            </w:r>
            <w:r>
              <w:rPr>
                <w:rStyle w:val="5"/>
                <w:rFonts w:ascii="Times New Roman" w:hAnsi="Times New Roman"/>
                <w:sz w:val="24"/>
                <w:szCs w:val="24"/>
                <w:lang w:val="uk-UA"/>
              </w:rPr>
              <w:fldChar w:fldCharType="end"/>
            </w:r>
            <w:r>
              <w:rPr>
                <w:rFonts w:ascii="Times New Roman" w:hAnsi="Times New Roman"/>
                <w:sz w:val="24"/>
                <w:szCs w:val="24"/>
                <w:lang w:val="uk-UA"/>
              </w:rPr>
              <w:t xml:space="preserve"> </w:t>
            </w:r>
          </w:p>
        </w:tc>
      </w:tr>
      <w:tr>
        <w:tblPrEx>
          <w:tblCellMar>
            <w:top w:w="100" w:type="dxa"/>
            <w:left w:w="100" w:type="dxa"/>
            <w:bottom w:w="100" w:type="dxa"/>
            <w:right w:w="100" w:type="dxa"/>
          </w:tblCellMar>
        </w:tblPrEx>
        <w:trPr>
          <w:trHeight w:val="480" w:hRule="atLeast"/>
        </w:trPr>
        <w:tc>
          <w:tcPr>
            <w:tcW w:w="2805" w:type="dxa"/>
            <w:tcBorders>
              <w:left w:val="single" w:color="000000" w:sz="8" w:space="0"/>
              <w:bottom w:val="single" w:color="000000" w:sz="8" w:space="0"/>
              <w:right w:val="single" w:color="000000" w:sz="8" w:space="0"/>
            </w:tcBorders>
            <w:tcMar>
              <w:top w:w="100" w:type="dxa"/>
              <w:left w:w="120" w:type="dxa"/>
              <w:bottom w:w="100" w:type="dxa"/>
              <w:right w:w="120" w:type="dxa"/>
            </w:tcMar>
          </w:tcPr>
          <w:p>
            <w:pPr>
              <w:widowControl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Консультації з питань навчання відбуваються</w:t>
            </w:r>
          </w:p>
        </w:tc>
        <w:tc>
          <w:tcPr>
            <w:tcW w:w="7655" w:type="dxa"/>
            <w:tcBorders>
              <w:bottom w:val="single" w:color="000000" w:sz="8" w:space="0"/>
              <w:right w:val="single" w:color="000000" w:sz="8" w:space="0"/>
            </w:tcBorders>
            <w:tcMar>
              <w:top w:w="100" w:type="dxa"/>
              <w:bottom w:w="100" w:type="dxa"/>
            </w:tcMar>
          </w:tcPr>
          <w:p>
            <w:pPr>
              <w:widowControl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Консультації в день проведення лекцій/практичних занять (за попередньою домовленістю).</w:t>
            </w:r>
          </w:p>
          <w:p>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Онлайн консультації за допомогою сервісів </w:t>
            </w:r>
            <w:r>
              <w:rPr>
                <w:rFonts w:ascii="Times New Roman" w:hAnsi="Times New Roman" w:cs="Times New Roman"/>
                <w:sz w:val="24"/>
                <w:szCs w:val="24"/>
                <w:lang w:val="en-US"/>
              </w:rPr>
              <w:t>Microsoft</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Teams</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Zoom</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Viber</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Telegram</w:t>
            </w:r>
            <w:r>
              <w:rPr>
                <w:rFonts w:ascii="Times New Roman" w:hAnsi="Times New Roman" w:cs="Times New Roman"/>
                <w:sz w:val="24"/>
                <w:szCs w:val="24"/>
                <w:lang w:val="uk-UA"/>
              </w:rPr>
              <w:t xml:space="preserve"> (за попередньою домовленістю).</w:t>
            </w:r>
          </w:p>
        </w:tc>
      </w:tr>
      <w:tr>
        <w:tblPrEx>
          <w:tblCellMar>
            <w:top w:w="100" w:type="dxa"/>
            <w:left w:w="100" w:type="dxa"/>
            <w:bottom w:w="100" w:type="dxa"/>
            <w:right w:w="100" w:type="dxa"/>
          </w:tblCellMar>
        </w:tblPrEx>
        <w:trPr>
          <w:trHeight w:val="16" w:hRule="atLeast"/>
        </w:trPr>
        <w:tc>
          <w:tcPr>
            <w:tcW w:w="2805" w:type="dxa"/>
            <w:tcBorders>
              <w:left w:val="single" w:color="000000" w:sz="8" w:space="0"/>
              <w:bottom w:val="single" w:color="000000" w:sz="8" w:space="0"/>
              <w:right w:val="single" w:color="000000" w:sz="8" w:space="0"/>
            </w:tcBorders>
            <w:tcMar>
              <w:top w:w="100" w:type="dxa"/>
              <w:left w:w="120" w:type="dxa"/>
              <w:bottom w:w="100" w:type="dxa"/>
              <w:right w:w="120" w:type="dxa"/>
            </w:tcMar>
          </w:tcPr>
          <w:p>
            <w:pPr>
              <w:widowControl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Сторінка дисципліни</w:t>
            </w:r>
          </w:p>
        </w:tc>
        <w:tc>
          <w:tcPr>
            <w:tcW w:w="7655" w:type="dxa"/>
            <w:tcBorders>
              <w:bottom w:val="single" w:color="000000" w:sz="8" w:space="0"/>
              <w:right w:val="single" w:color="000000" w:sz="8" w:space="0"/>
            </w:tcBorders>
            <w:tcMar>
              <w:top w:w="100" w:type="dxa"/>
              <w:bottom w:w="100" w:type="dxa"/>
            </w:tcMar>
          </w:tcPr>
          <w:p>
            <w:pPr>
              <w:widowControl w:val="0"/>
              <w:spacing w:line="240" w:lineRule="auto"/>
              <w:rPr>
                <w:rFonts w:ascii="Times New Roman" w:hAnsi="Times New Roman" w:cs="Times New Roman"/>
                <w:b/>
                <w:sz w:val="24"/>
                <w:szCs w:val="24"/>
                <w:lang w:val="uk-UA"/>
              </w:rPr>
            </w:pPr>
            <w:r>
              <w:fldChar w:fldCharType="begin"/>
            </w:r>
            <w:r>
              <w:instrText xml:space="preserve"> HYPERLINK "https://econom.lnu.edu.ua/course/platizhni-systemy-i-tekhnolohii-osvitno-naukova-prohrama-finansy-i-kredyt" </w:instrText>
            </w:r>
            <w:r>
              <w:fldChar w:fldCharType="separate"/>
            </w:r>
            <w:r>
              <w:rPr>
                <w:rStyle w:val="5"/>
                <w:rFonts w:ascii="Times New Roman" w:hAnsi="Times New Roman"/>
                <w:b/>
                <w:sz w:val="24"/>
                <w:szCs w:val="24"/>
                <w:lang w:val="uk-UA"/>
              </w:rPr>
              <w:t>https://econ</w:t>
            </w:r>
            <w:bookmarkStart w:id="1" w:name="_GoBack"/>
            <w:bookmarkEnd w:id="1"/>
            <w:r>
              <w:rPr>
                <w:rStyle w:val="5"/>
                <w:rFonts w:ascii="Times New Roman" w:hAnsi="Times New Roman"/>
                <w:b/>
                <w:sz w:val="24"/>
                <w:szCs w:val="24"/>
                <w:lang w:val="uk-UA"/>
              </w:rPr>
              <w:t>om.lnu.edu.ua/course/platizhni-systemy-i-tekhnolohii-osvitno-naukova-prohrama-finansy-i-kredyt</w:t>
            </w:r>
            <w:r>
              <w:rPr>
                <w:rStyle w:val="6"/>
                <w:rFonts w:ascii="Times New Roman" w:hAnsi="Times New Roman"/>
                <w:b/>
                <w:sz w:val="24"/>
                <w:szCs w:val="24"/>
                <w:lang w:val="uk-UA"/>
              </w:rPr>
              <w:fldChar w:fldCharType="end"/>
            </w:r>
            <w:r>
              <w:rPr>
                <w:rFonts w:ascii="Times New Roman" w:hAnsi="Times New Roman"/>
                <w:b/>
                <w:sz w:val="24"/>
                <w:szCs w:val="24"/>
                <w:lang w:val="uk-UA"/>
              </w:rPr>
              <w:t xml:space="preserve"> </w:t>
            </w:r>
          </w:p>
        </w:tc>
      </w:tr>
      <w:tr>
        <w:tblPrEx>
          <w:tblCellMar>
            <w:top w:w="100" w:type="dxa"/>
            <w:left w:w="100" w:type="dxa"/>
            <w:bottom w:w="100" w:type="dxa"/>
            <w:right w:w="100" w:type="dxa"/>
          </w:tblCellMar>
        </w:tblPrEx>
        <w:trPr>
          <w:trHeight w:val="1280" w:hRule="atLeast"/>
        </w:trPr>
        <w:tc>
          <w:tcPr>
            <w:tcW w:w="2805" w:type="dxa"/>
            <w:tcBorders>
              <w:top w:val="single" w:color="auto" w:sz="4"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Інформація про дисципліну</w:t>
            </w:r>
          </w:p>
        </w:tc>
        <w:tc>
          <w:tcPr>
            <w:tcW w:w="7655" w:type="dxa"/>
            <w:tcBorders>
              <w:top w:val="single" w:color="auto" w:sz="4" w:space="0"/>
              <w:left w:val="single" w:color="000000" w:sz="8" w:space="0"/>
              <w:right w:val="single" w:color="000000" w:sz="8" w:space="0"/>
            </w:tcBorders>
            <w:tcMar>
              <w:top w:w="100" w:type="dxa"/>
              <w:bottom w:w="100" w:type="dxa"/>
            </w:tcMar>
          </w:tcPr>
          <w:p>
            <w:pPr>
              <w:spacing w:line="240" w:lineRule="auto"/>
              <w:jc w:val="both"/>
              <w:rPr>
                <w:rFonts w:ascii="Times New Roman" w:hAnsi="Times New Roman" w:cs="Times New Roman"/>
                <w:lang w:val="uk-UA"/>
              </w:rPr>
            </w:pPr>
            <w:r>
              <w:rPr>
                <w:rFonts w:ascii="Times New Roman" w:hAnsi="Times New Roman" w:cs="Times New Roman"/>
                <w:lang w:val="uk-UA"/>
              </w:rPr>
              <w:t xml:space="preserve">Дисципліна “Платіжні системи і технології” є вибірковою дисципліною спеціальності 072 “Фінанси, банківська справа та страхування” для освітньо-наукової програми “Фінанси і кредит”, яку викладають в 11 семестрі в обсязі 3 кредитів (за Європейською Кредитно-Трансферною Системою </w:t>
            </w:r>
            <w:r>
              <w:rPr>
                <w:rFonts w:ascii="Times New Roman" w:hAnsi="Times New Roman" w:cs="Times New Roman"/>
                <w:lang w:val="en-US"/>
              </w:rPr>
              <w:t>ECTS</w:t>
            </w:r>
            <w:r>
              <w:rPr>
                <w:rFonts w:ascii="Times New Roman" w:hAnsi="Times New Roman" w:cs="Times New Roman"/>
                <w:lang w:val="uk-UA"/>
              </w:rPr>
              <w:t>).</w:t>
            </w:r>
          </w:p>
        </w:tc>
      </w:tr>
      <w:tr>
        <w:tblPrEx>
          <w:tblCellMar>
            <w:top w:w="100" w:type="dxa"/>
            <w:left w:w="100" w:type="dxa"/>
            <w:bottom w:w="100" w:type="dxa"/>
            <w:right w:w="100" w:type="dxa"/>
          </w:tblCellMar>
        </w:tblPrEx>
        <w:trPr>
          <w:trHeight w:val="1280"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Коротка анотація дисципліни</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spacing w:line="240" w:lineRule="auto"/>
              <w:ind w:firstLine="440" w:firstLineChars="200"/>
              <w:jc w:val="both"/>
              <w:rPr>
                <w:rFonts w:ascii="Times New Roman" w:hAnsi="Times New Roman"/>
                <w:lang w:val="uk-UA"/>
              </w:rPr>
            </w:pPr>
            <w:r>
              <w:rPr>
                <w:rFonts w:ascii="Times New Roman" w:hAnsi="Times New Roman"/>
                <w:lang w:val="uk-UA"/>
              </w:rPr>
              <w:t>Значення платіжних систем для економіки держави полягає у забезпеченні своєчасності та гарантованості платежів, створенні можливості максимального прискорення платежів, здійснення їх у режимі реального часу, що забезпечує високу швидкість обороту капіталу та економію трансакційних витрат. Висока концентрація платежів у банківських установах забезпечує можливості для застосування клірингу, організації контролю за легальністю платежів. Нормативне визначення принципів, правил і процедур здійснення платежів та створення механізму контролю за їх дотриманням сприяють посиленню довіри між учасниками платіжних відносин.</w:t>
            </w:r>
          </w:p>
          <w:p>
            <w:pPr>
              <w:spacing w:line="240" w:lineRule="auto"/>
              <w:ind w:firstLine="440" w:firstLineChars="200"/>
              <w:jc w:val="both"/>
              <w:rPr>
                <w:rFonts w:ascii="Times New Roman" w:hAnsi="Times New Roman" w:cs="Times New Roman"/>
                <w:lang w:val="uk-UA"/>
              </w:rPr>
            </w:pPr>
            <w:r>
              <w:rPr>
                <w:rFonts w:ascii="Times New Roman" w:hAnsi="Times New Roman"/>
                <w:lang w:val="uk-UA"/>
              </w:rPr>
              <w:t>Глобальні масштаби розрахункових операцій потребують досконалого володіння технологіями здійснення грошових переказів, обслуговування платежів, можливостями та перевагами розрахунків за допомогою систем електронних платежів. У зв'язку з цим важливе значення має вивчення дисципліни “Платіжні системи” студентами освітнього ступеня магістр спеціальності “Фінанси, банківська справа та страхування” освітньо-професійної програми “Фінанси і кредит”.</w:t>
            </w:r>
          </w:p>
        </w:tc>
      </w:tr>
      <w:tr>
        <w:tblPrEx>
          <w:tblCellMar>
            <w:top w:w="100" w:type="dxa"/>
            <w:left w:w="100" w:type="dxa"/>
            <w:bottom w:w="100" w:type="dxa"/>
            <w:right w:w="100" w:type="dxa"/>
          </w:tblCellMar>
        </w:tblPrEx>
        <w:trPr>
          <w:trHeight w:val="459"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Мета та цілі дисципліни</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pStyle w:val="9"/>
              <w:rPr>
                <w:sz w:val="22"/>
                <w:szCs w:val="22"/>
                <w:lang w:val="uk-UA"/>
              </w:rPr>
            </w:pPr>
            <w:r>
              <w:rPr>
                <w:b/>
                <w:sz w:val="22"/>
                <w:szCs w:val="22"/>
                <w:lang w:val="uk-UA"/>
              </w:rPr>
              <w:t>Метою</w:t>
            </w:r>
            <w:r>
              <w:rPr>
                <w:sz w:val="22"/>
                <w:szCs w:val="22"/>
                <w:lang w:val="uk-UA"/>
              </w:rPr>
              <w:t xml:space="preserve"> вивчення навчальної дисципліни “Платіжні системи” є засвоєння теоретико-методологічних засад і організаційно-правового механізму функціонування платіжних систем. </w:t>
            </w:r>
          </w:p>
          <w:p>
            <w:pPr>
              <w:pStyle w:val="9"/>
              <w:rPr>
                <w:sz w:val="24"/>
                <w:lang w:val="uk-UA"/>
              </w:rPr>
            </w:pPr>
            <w:r>
              <w:rPr>
                <w:b/>
                <w:bCs/>
                <w:sz w:val="22"/>
                <w:szCs w:val="22"/>
                <w:lang w:val="uk-UA"/>
              </w:rPr>
              <w:t>Цілями</w:t>
            </w:r>
            <w:r>
              <w:rPr>
                <w:sz w:val="22"/>
                <w:szCs w:val="22"/>
                <w:lang w:val="uk-UA"/>
              </w:rPr>
              <w:t xml:space="preserve"> вивчення дисципліни “Платіжні системи” є формування у студентів базових знань щодо принципів функціонування платіжних систем, їх різновидів, платіжних інструментів, можливих ризиків платіжних систем, методів управління ними, поняття інформаційної безпеки та створення системи захисту, специфіки побудови платіжної системи України.</w:t>
            </w:r>
          </w:p>
        </w:tc>
      </w:tr>
      <w:tr>
        <w:tblPrEx>
          <w:tblCellMar>
            <w:top w:w="100" w:type="dxa"/>
            <w:left w:w="100" w:type="dxa"/>
            <w:bottom w:w="100" w:type="dxa"/>
            <w:right w:w="100" w:type="dxa"/>
          </w:tblCellMar>
        </w:tblPrEx>
        <w:trPr>
          <w:trHeight w:val="447"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Література для вивчення дисципліни</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shd w:val="clear" w:color="auto" w:fill="FFFFFF"/>
              <w:rPr>
                <w:rFonts w:ascii="Times New Roman" w:hAnsi="Times New Roman" w:cs="Times New Roman"/>
                <w:b/>
                <w:bCs/>
                <w:spacing w:val="-6"/>
                <w:lang w:val="uk-UA"/>
              </w:rPr>
            </w:pPr>
            <w:r>
              <w:rPr>
                <w:rFonts w:ascii="Times New Roman" w:hAnsi="Times New Roman" w:cs="Times New Roman"/>
                <w:b/>
                <w:bCs/>
                <w:spacing w:val="-6"/>
                <w:lang w:val="uk-UA"/>
              </w:rPr>
              <w:t>Основна</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cs="Times New Roman"/>
                <w:lang w:val="uk-UA" w:eastAsia="zh-CN"/>
              </w:rPr>
              <w:t>Закон України “Про платіжні системи та переказ коштів в Україні” від 05.04.2001 р. № 2346-ІІІ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cs="Times New Roman"/>
                <w:lang w:val="uk-UA" w:eastAsia="zh-CN"/>
              </w:rPr>
              <w:t>Закон України “Про Національний банк України” від 20.05.1999 р. № 679-XIV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lang w:val="uk-UA" w:eastAsia="zh-CN"/>
              </w:rPr>
              <w:t>Центральний банк і грошово-кредитна політика: підручник / М.І. Крупка, Є.М. Андрущак, Н.Г. Пайтра та ін.; за ред. д-ра екон. наук, проф. М.І. Крупки. Львів: ЛНУ імені Івана Франка, 2017. 526 с.</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lang w:val="uk-UA" w:eastAsia="zh-CN"/>
              </w:rPr>
              <w:t>Стратегія розвитку фінтеху в Україні до 2025 року. Сталий розвиток інновацій, кешлес та фінграмотність. Національний банк України. Липень 2020. 49 с.</w:t>
            </w:r>
          </w:p>
          <w:p>
            <w:pPr>
              <w:pStyle w:val="14"/>
              <w:jc w:val="both"/>
              <w:rPr>
                <w:b/>
                <w:sz w:val="22"/>
                <w:szCs w:val="22"/>
              </w:rPr>
            </w:pPr>
          </w:p>
          <w:p>
            <w:pPr>
              <w:pStyle w:val="14"/>
              <w:jc w:val="both"/>
              <w:rPr>
                <w:b/>
                <w:sz w:val="22"/>
                <w:szCs w:val="22"/>
              </w:rPr>
            </w:pPr>
            <w:r>
              <w:rPr>
                <w:b/>
                <w:sz w:val="22"/>
                <w:szCs w:val="22"/>
              </w:rPr>
              <w:t>Додаткова</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lang w:val="uk-UA" w:eastAsia="zh-CN"/>
              </w:rPr>
              <w:t>Закон України “Про електронні довірчі послуги” від 05.10.2017 р. №2155-</w:t>
            </w:r>
            <w:r>
              <w:rPr>
                <w:rFonts w:ascii="Times New Roman" w:hAnsi="Times New Roman"/>
                <w:lang w:val="en-US" w:eastAsia="zh-CN"/>
              </w:rPr>
              <w:t>VIII</w:t>
            </w:r>
            <w:r>
              <w:rPr>
                <w:rFonts w:ascii="Times New Roman" w:hAnsi="Times New Roman"/>
                <w:lang w:val="uk-UA" w:eastAsia="zh-CN"/>
              </w:rPr>
              <w:t xml:space="preserve">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lang w:val="uk-UA" w:eastAsia="zh-CN"/>
              </w:rPr>
              <w:t>Закон України “Про електронні документи та електронний документообіг” від 22.05.2003 р. № 851-</w:t>
            </w:r>
            <w:r>
              <w:rPr>
                <w:rFonts w:ascii="Times New Roman" w:hAnsi="Times New Roman"/>
                <w:lang w:val="en-US" w:eastAsia="zh-CN"/>
              </w:rPr>
              <w:t>IV</w:t>
            </w:r>
            <w:r>
              <w:rPr>
                <w:rFonts w:ascii="Times New Roman" w:hAnsi="Times New Roman"/>
                <w:lang w:val="uk-UA" w:eastAsia="zh-CN"/>
              </w:rPr>
              <w:t xml:space="preserve">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lang w:val="uk-UA" w:eastAsia="zh-CN"/>
              </w:rPr>
              <w:t>Положення про порядок реєстрації платіжних систем,учасників платіжних систем та операторів послуг платіжної інфраструктури, затв. Постановою Правління НБУ</w:t>
            </w:r>
            <w:r>
              <w:rPr>
                <w:rFonts w:ascii="Times New Roman" w:hAnsi="Times New Roman"/>
                <w:lang w:val="en-US" w:eastAsia="zh-CN"/>
              </w:rPr>
              <w:t xml:space="preserve"> 04</w:t>
            </w:r>
            <w:r>
              <w:rPr>
                <w:rFonts w:ascii="Times New Roman" w:hAnsi="Times New Roman"/>
                <w:lang w:val="uk-UA" w:eastAsia="zh-CN"/>
              </w:rPr>
              <w:t>.</w:t>
            </w:r>
            <w:r>
              <w:rPr>
                <w:rFonts w:ascii="Times New Roman" w:hAnsi="Times New Roman"/>
                <w:lang w:val="en-US" w:eastAsia="zh-CN"/>
              </w:rPr>
              <w:t>02</w:t>
            </w:r>
            <w:r>
              <w:rPr>
                <w:rFonts w:ascii="Times New Roman" w:hAnsi="Times New Roman"/>
                <w:lang w:val="uk-UA" w:eastAsia="zh-CN"/>
              </w:rPr>
              <w:t>.</w:t>
            </w:r>
            <w:r>
              <w:rPr>
                <w:rFonts w:ascii="Times New Roman" w:hAnsi="Times New Roman"/>
                <w:lang w:val="en-US" w:eastAsia="zh-CN"/>
              </w:rPr>
              <w:t>2014</w:t>
            </w:r>
            <w:r>
              <w:rPr>
                <w:rFonts w:ascii="Times New Roman" w:hAnsi="Times New Roman"/>
                <w:lang w:val="uk-UA" w:eastAsia="zh-CN"/>
              </w:rPr>
              <w:t xml:space="preserve"> р. № 43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lang w:val="uk-UA" w:eastAsia="zh-CN"/>
              </w:rPr>
              <w:t>Положення про нагляд (оверсайт) платіжних систем та систем розрахунків в Україні, затв. Постановою Правління НБУ 28.11.2014 р. № 755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lang w:val="uk-UA" w:eastAsia="zh-CN"/>
              </w:rPr>
              <w:t>Інструкція про міжбанківський переказ коштів в Україні в національній валюті, затв. Постановою Правління НБУ 16.08.2006 р. № 320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lang w:val="uk-UA" w:eastAsia="zh-CN"/>
              </w:rPr>
              <w:t>Інструкція про безготівкові розрахунки в Україні в національній валюті, затв. Постановою Правління НБУ 21.01.2004 р. № 22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lang w:val="uk-UA" w:eastAsia="zh-CN"/>
              </w:rPr>
              <w:t>Положення про порядок емісії електронних платіжних засобів і здійснення операцій з їх використанням, затв. Постановою Правління НБУ 05.11.2014  № 705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cs="Times New Roman"/>
                <w:lang w:val="uk-UA" w:eastAsia="zh-CN"/>
              </w:rPr>
              <w:t>Положення про електронні гроші в Україні, затв. Постановою Правління НБУ 04.11.2010 р. №481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cs="Times New Roman"/>
                <w:lang w:val="uk-UA" w:eastAsia="zh-CN"/>
              </w:rPr>
              <w:t xml:space="preserve">Правила Системи електронних платежів Національного банку України, затв. </w:t>
            </w:r>
            <w:r>
              <w:rPr>
                <w:rFonts w:ascii="Times New Roman" w:hAnsi="Times New Roman"/>
                <w:lang w:val="uk-UA" w:eastAsia="zh-CN"/>
              </w:rPr>
              <w:t>Рішенням Ради Платіжної організації СЕП НБУ, протокол від 13.07.2017 р. № 1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lang w:val="uk-UA" w:eastAsia="zh-CN"/>
              </w:rPr>
              <w:t>Правила Національної платіжної системи “Український платіжний простір”, затв. Рішенням Ради Платіжної організації НПС “Український платіжний простір”, протокол від 07.06.2013 № 213/2013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lang w:val="uk-UA" w:eastAsia="zh-CN"/>
              </w:rPr>
              <w:t xml:space="preserve">Методичні рекомендації з управління ризиками в платіжних системах. </w:t>
            </w:r>
            <w:r>
              <w:rPr>
                <w:rFonts w:ascii="Times New Roman" w:hAnsi="Times New Roman"/>
                <w:lang w:val="en-US" w:eastAsia="zh-CN"/>
              </w:rPr>
              <w:t>URL</w:t>
            </w:r>
            <w:r>
              <w:rPr>
                <w:rFonts w:ascii="Times New Roman" w:hAnsi="Times New Roman"/>
                <w:lang w:val="uk-UA" w:eastAsia="zh-CN"/>
              </w:rPr>
              <w:t xml:space="preserve">: </w:t>
            </w:r>
            <w:r>
              <w:fldChar w:fldCharType="begin"/>
            </w:r>
            <w:r>
              <w:instrText xml:space="preserve"> HYPERLINK "https://bank.gov.ua/admin_uploads/article/Guidelines_risk_management_ps.pdf?v=4" </w:instrText>
            </w:r>
            <w:r>
              <w:fldChar w:fldCharType="separate"/>
            </w:r>
            <w:r>
              <w:rPr>
                <w:rStyle w:val="6"/>
                <w:rFonts w:ascii="Times New Roman" w:hAnsi="Times New Roman"/>
                <w:lang w:val="uk-UA" w:eastAsia="zh-CN"/>
              </w:rPr>
              <w:t>https://bank.gov.ua/admin_uploads/article/Guidelines_risk_management_ps.pdf?v=4</w:t>
            </w:r>
            <w:r>
              <w:rPr>
                <w:rStyle w:val="6"/>
                <w:rFonts w:ascii="Times New Roman" w:hAnsi="Times New Roman"/>
                <w:lang w:val="uk-UA" w:eastAsia="zh-CN"/>
              </w:rPr>
              <w:fldChar w:fldCharType="end"/>
            </w:r>
            <w:r>
              <w:rPr>
                <w:rFonts w:ascii="Times New Roman" w:hAnsi="Times New Roman"/>
                <w:lang w:val="uk-UA" w:eastAsia="zh-CN"/>
              </w:rPr>
              <w:t xml:space="preserve"> </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lang w:val="uk-UA" w:eastAsia="zh-CN"/>
              </w:rPr>
              <w:t xml:space="preserve">Payment aspects of financial inclusion in the fintech era. Committee on Payments and Market Infrastructures. World Bank Group. April 2020. 74 </w:t>
            </w:r>
            <w:r>
              <w:rPr>
                <w:rFonts w:ascii="Times New Roman" w:hAnsi="Times New Roman"/>
                <w:lang w:val="en-US" w:eastAsia="zh-CN"/>
              </w:rPr>
              <w:t>p. URL</w:t>
            </w:r>
            <w:r>
              <w:rPr>
                <w:rFonts w:ascii="Times New Roman" w:hAnsi="Times New Roman"/>
                <w:lang w:val="uk-UA" w:eastAsia="zh-CN"/>
              </w:rPr>
              <w:t xml:space="preserve">: </w:t>
            </w:r>
            <w:r>
              <w:fldChar w:fldCharType="begin"/>
            </w:r>
            <w:r>
              <w:instrText xml:space="preserve"> HYPERLINK "https://www.bis.org/cpmi/publ/d191.pdf" </w:instrText>
            </w:r>
            <w:r>
              <w:fldChar w:fldCharType="separate"/>
            </w:r>
            <w:r>
              <w:rPr>
                <w:rStyle w:val="6"/>
                <w:rFonts w:ascii="Times New Roman" w:hAnsi="Times New Roman"/>
                <w:lang w:val="uk-UA" w:eastAsia="zh-CN"/>
              </w:rPr>
              <w:t>https://www.bis.org/cpmi/publ/d191.pdf</w:t>
            </w:r>
            <w:r>
              <w:rPr>
                <w:rStyle w:val="6"/>
                <w:rFonts w:ascii="Times New Roman" w:hAnsi="Times New Roman"/>
                <w:lang w:val="uk-UA" w:eastAsia="zh-CN"/>
              </w:rPr>
              <w:fldChar w:fldCharType="end"/>
            </w:r>
            <w:r>
              <w:rPr>
                <w:rFonts w:ascii="Times New Roman" w:hAnsi="Times New Roman"/>
                <w:lang w:val="uk-UA" w:eastAsia="zh-CN"/>
              </w:rPr>
              <w:t xml:space="preserve"> </w:t>
            </w:r>
          </w:p>
          <w:p>
            <w:pPr>
              <w:shd w:val="clear" w:color="auto" w:fill="FFFFFF"/>
              <w:tabs>
                <w:tab w:val="left" w:pos="4380"/>
              </w:tabs>
              <w:jc w:val="both"/>
              <w:rPr>
                <w:rFonts w:ascii="Times New Roman" w:hAnsi="Times New Roman" w:cs="Times New Roman"/>
                <w:spacing w:val="-20"/>
                <w:lang w:val="uk-UA"/>
              </w:rPr>
            </w:pPr>
            <w:r>
              <w:rPr>
                <w:rFonts w:ascii="Times New Roman" w:hAnsi="Times New Roman" w:cs="Times New Roman"/>
                <w:b/>
                <w:lang w:val="uk-UA"/>
              </w:rPr>
              <w:t>Інформаційні ресурси</w:t>
            </w:r>
          </w:p>
          <w:p>
            <w:pPr>
              <w:numPr>
                <w:ilvl w:val="0"/>
                <w:numId w:val="1"/>
              </w:numPr>
              <w:suppressAutoHyphens/>
              <w:spacing w:line="240" w:lineRule="auto"/>
              <w:ind w:left="323" w:hanging="323"/>
              <w:jc w:val="both"/>
              <w:rPr>
                <w:rFonts w:ascii="Times New Roman" w:hAnsi="Times New Roman" w:cs="Times New Roman"/>
                <w:lang w:val="uk-UA" w:eastAsia="zh-CN"/>
              </w:rPr>
            </w:pPr>
            <w:r>
              <w:rPr>
                <w:rFonts w:ascii="Times New Roman" w:hAnsi="Times New Roman" w:cs="Times New Roman"/>
                <w:lang w:val="uk-UA" w:eastAsia="zh-CN"/>
              </w:rPr>
              <w:t xml:space="preserve">Офіційна Інтернет-сторінка Національного банку України. – Режим доступу: </w:t>
            </w:r>
            <w:r>
              <w:fldChar w:fldCharType="begin"/>
            </w:r>
            <w:r>
              <w:instrText xml:space="preserve"> HYPERLINK "http://www.bank.gov.ua" </w:instrText>
            </w:r>
            <w:r>
              <w:fldChar w:fldCharType="separate"/>
            </w:r>
            <w:r>
              <w:rPr>
                <w:rStyle w:val="6"/>
                <w:rFonts w:ascii="Times New Roman" w:hAnsi="Times New Roman"/>
                <w:lang w:val="en-US"/>
              </w:rPr>
              <w:t>http</w:t>
            </w:r>
            <w:r>
              <w:rPr>
                <w:rStyle w:val="6"/>
                <w:rFonts w:ascii="Times New Roman" w:hAnsi="Times New Roman"/>
              </w:rPr>
              <w:t>://</w:t>
            </w:r>
            <w:r>
              <w:rPr>
                <w:rStyle w:val="6"/>
                <w:rFonts w:ascii="Times New Roman" w:hAnsi="Times New Roman"/>
                <w:lang w:val="en-US"/>
              </w:rPr>
              <w:t>www</w:t>
            </w:r>
            <w:r>
              <w:rPr>
                <w:rStyle w:val="6"/>
                <w:rFonts w:ascii="Times New Roman" w:hAnsi="Times New Roman"/>
              </w:rPr>
              <w:t>.</w:t>
            </w:r>
            <w:r>
              <w:rPr>
                <w:rStyle w:val="6"/>
                <w:rFonts w:ascii="Times New Roman" w:hAnsi="Times New Roman"/>
                <w:lang w:val="en-US"/>
              </w:rPr>
              <w:t>bank</w:t>
            </w:r>
            <w:r>
              <w:rPr>
                <w:rStyle w:val="6"/>
                <w:rFonts w:ascii="Times New Roman" w:hAnsi="Times New Roman"/>
              </w:rPr>
              <w:t>.</w:t>
            </w:r>
            <w:r>
              <w:rPr>
                <w:rStyle w:val="6"/>
                <w:rFonts w:ascii="Times New Roman" w:hAnsi="Times New Roman"/>
                <w:lang w:val="en-US"/>
              </w:rPr>
              <w:t>gov</w:t>
            </w:r>
            <w:r>
              <w:rPr>
                <w:rStyle w:val="6"/>
                <w:rFonts w:ascii="Times New Roman" w:hAnsi="Times New Roman"/>
              </w:rPr>
              <w:t>.</w:t>
            </w:r>
            <w:r>
              <w:rPr>
                <w:rStyle w:val="6"/>
                <w:rFonts w:ascii="Times New Roman" w:hAnsi="Times New Roman"/>
                <w:lang w:val="en-US"/>
              </w:rPr>
              <w:t>ua</w:t>
            </w:r>
            <w:r>
              <w:rPr>
                <w:rStyle w:val="6"/>
                <w:rFonts w:ascii="Times New Roman" w:hAnsi="Times New Roman"/>
                <w:lang w:val="en-US"/>
              </w:rPr>
              <w:fldChar w:fldCharType="end"/>
            </w:r>
            <w:r>
              <w:rPr>
                <w:rFonts w:ascii="Times New Roman" w:hAnsi="Times New Roman" w:cs="Times New Roman"/>
              </w:rPr>
              <w:t xml:space="preserve"> </w:t>
            </w:r>
          </w:p>
        </w:tc>
      </w:tr>
      <w:tr>
        <w:tblPrEx>
          <w:tblCellMar>
            <w:top w:w="100" w:type="dxa"/>
            <w:left w:w="100" w:type="dxa"/>
            <w:bottom w:w="100" w:type="dxa"/>
            <w:right w:w="100" w:type="dxa"/>
          </w:tblCellMar>
        </w:tblPrEx>
        <w:trPr>
          <w:trHeight w:val="435"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Обсяг курсу</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widowControl w:val="0"/>
              <w:spacing w:line="240" w:lineRule="auto"/>
              <w:rPr>
                <w:rFonts w:ascii="Times New Roman" w:hAnsi="Times New Roman" w:cs="Times New Roman"/>
                <w:lang w:val="uk-UA"/>
              </w:rPr>
            </w:pPr>
            <w:r>
              <w:rPr>
                <w:rFonts w:ascii="Times New Roman" w:hAnsi="Times New Roman" w:cs="Times New Roman"/>
                <w:lang w:val="uk-UA"/>
              </w:rPr>
              <w:t>32 год. аудиторних занять. З них 16 год. лекцій, 16 год. практичних занять та 58 год. самостійної роботи</w:t>
            </w:r>
          </w:p>
        </w:tc>
      </w:tr>
      <w:tr>
        <w:tblPrEx>
          <w:tblCellMar>
            <w:top w:w="100" w:type="dxa"/>
            <w:left w:w="100" w:type="dxa"/>
            <w:bottom w:w="100" w:type="dxa"/>
            <w:right w:w="100" w:type="dxa"/>
          </w:tblCellMar>
        </w:tblPrEx>
        <w:trPr>
          <w:trHeight w:val="1158"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Очікувані результати навчання</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tabs>
                <w:tab w:val="left" w:pos="0"/>
              </w:tabs>
              <w:spacing w:line="240" w:lineRule="auto"/>
              <w:ind w:hanging="105"/>
              <w:rPr>
                <w:rFonts w:ascii="Times New Roman" w:hAnsi="Times New Roman" w:cs="Times New Roman"/>
                <w:lang w:val="uk-UA"/>
              </w:rPr>
            </w:pPr>
            <w:r>
              <w:rPr>
                <w:rFonts w:ascii="Times New Roman" w:hAnsi="Times New Roman" w:cs="Times New Roman"/>
                <w:lang w:val="uk-UA"/>
              </w:rPr>
              <w:t>Після завершення курсу студент буде:</w:t>
            </w:r>
          </w:p>
          <w:p>
            <w:pPr>
              <w:tabs>
                <w:tab w:val="left" w:pos="0"/>
              </w:tabs>
              <w:spacing w:line="240" w:lineRule="auto"/>
              <w:ind w:left="357" w:hanging="105"/>
              <w:rPr>
                <w:rFonts w:ascii="Times New Roman" w:hAnsi="Times New Roman" w:cs="Times New Roman"/>
                <w:b/>
                <w:lang w:val="uk-UA"/>
              </w:rPr>
            </w:pPr>
            <w:r>
              <w:rPr>
                <w:rFonts w:ascii="Times New Roman" w:hAnsi="Times New Roman" w:cs="Times New Roman"/>
                <w:b/>
                <w:lang w:val="uk-UA"/>
              </w:rPr>
              <w:t>Знати:</w:t>
            </w:r>
          </w:p>
          <w:p>
            <w:pPr>
              <w:numPr>
                <w:ilvl w:val="0"/>
                <w:numId w:val="2"/>
              </w:numPr>
              <w:tabs>
                <w:tab w:val="left" w:pos="0"/>
                <w:tab w:val="clear" w:pos="720"/>
              </w:tabs>
              <w:spacing w:line="240" w:lineRule="auto"/>
              <w:ind w:left="220" w:hanging="220"/>
              <w:rPr>
                <w:rFonts w:ascii="Times New Roman" w:hAnsi="Times New Roman"/>
                <w:bCs/>
                <w:lang w:val="uk-UA"/>
              </w:rPr>
            </w:pPr>
            <w:r>
              <w:rPr>
                <w:rFonts w:ascii="Times New Roman" w:hAnsi="Times New Roman"/>
                <w:bCs/>
                <w:lang w:val="uk-UA"/>
              </w:rPr>
              <w:t>суть, значення, види, суб’єктів і правову основу діяльності платіжних систем, поняття, класифікацію та реквізити платіжних інструментів, у тому числі в національній економіці;</w:t>
            </w:r>
          </w:p>
          <w:p>
            <w:pPr>
              <w:numPr>
                <w:ilvl w:val="0"/>
                <w:numId w:val="2"/>
              </w:numPr>
              <w:tabs>
                <w:tab w:val="left" w:pos="0"/>
                <w:tab w:val="clear" w:pos="720"/>
              </w:tabs>
              <w:spacing w:line="240" w:lineRule="auto"/>
              <w:ind w:left="220" w:hanging="220"/>
              <w:rPr>
                <w:rFonts w:ascii="Times New Roman" w:hAnsi="Times New Roman"/>
                <w:bCs/>
                <w:lang w:val="uk-UA"/>
              </w:rPr>
            </w:pPr>
            <w:r>
              <w:rPr>
                <w:rFonts w:ascii="Times New Roman" w:hAnsi="Times New Roman"/>
                <w:bCs/>
                <w:lang w:val="uk-UA"/>
              </w:rPr>
              <w:t>поняття, різновиди та методи управління ризиками платіжних систем;</w:t>
            </w:r>
          </w:p>
          <w:p>
            <w:pPr>
              <w:numPr>
                <w:ilvl w:val="0"/>
                <w:numId w:val="2"/>
              </w:numPr>
              <w:tabs>
                <w:tab w:val="left" w:pos="0"/>
                <w:tab w:val="clear" w:pos="720"/>
              </w:tabs>
              <w:spacing w:line="240" w:lineRule="auto"/>
              <w:ind w:left="220" w:hanging="220"/>
              <w:rPr>
                <w:rFonts w:ascii="Times New Roman" w:hAnsi="Times New Roman"/>
                <w:bCs/>
                <w:lang w:val="uk-UA"/>
              </w:rPr>
            </w:pPr>
            <w:r>
              <w:rPr>
                <w:rFonts w:ascii="Times New Roman" w:hAnsi="Times New Roman"/>
                <w:bCs/>
                <w:lang w:val="uk-UA"/>
              </w:rPr>
              <w:t>типи загроз та особливості реалізації політики безпеки платіжних систем;</w:t>
            </w:r>
          </w:p>
          <w:p>
            <w:pPr>
              <w:numPr>
                <w:ilvl w:val="0"/>
                <w:numId w:val="2"/>
              </w:numPr>
              <w:tabs>
                <w:tab w:val="left" w:pos="0"/>
                <w:tab w:val="clear" w:pos="720"/>
              </w:tabs>
              <w:spacing w:line="240" w:lineRule="auto"/>
              <w:ind w:left="220" w:hanging="220"/>
              <w:rPr>
                <w:rFonts w:ascii="Times New Roman" w:hAnsi="Times New Roman" w:cs="Times New Roman"/>
                <w:b/>
                <w:lang w:val="uk-UA"/>
              </w:rPr>
            </w:pPr>
            <w:r>
              <w:rPr>
                <w:rFonts w:ascii="Times New Roman" w:hAnsi="Times New Roman"/>
                <w:bCs/>
                <w:lang w:val="uk-UA"/>
              </w:rPr>
              <w:t>специфіку проведення міжбанківських розрахунків, суть та особливості функціонування внутрішньобанківських платіжних систем, різновиди систем дистанційного банківського обслуговування клієнтів, особливості емісії, еквайрингу та операцій із застосуванням електронних платіжних засобів в Україні, різновиди та специфіку роботи систем переказу коштів.</w:t>
            </w:r>
          </w:p>
          <w:p>
            <w:pPr>
              <w:tabs>
                <w:tab w:val="left" w:pos="0"/>
                <w:tab w:val="left" w:pos="231"/>
              </w:tabs>
              <w:spacing w:line="240" w:lineRule="auto"/>
              <w:rPr>
                <w:rFonts w:ascii="Times New Roman" w:hAnsi="Times New Roman" w:cs="Times New Roman"/>
                <w:b/>
                <w:bCs/>
                <w:lang w:val="uk-UA"/>
              </w:rPr>
            </w:pPr>
            <w:r>
              <w:rPr>
                <w:rFonts w:ascii="Times New Roman" w:hAnsi="Times New Roman" w:cs="Times New Roman"/>
                <w:b/>
                <w:bCs/>
                <w:lang w:val="uk-UA"/>
              </w:rPr>
              <w:t>Вміти:</w:t>
            </w:r>
          </w:p>
          <w:p>
            <w:pPr>
              <w:pStyle w:val="20"/>
              <w:numPr>
                <w:ilvl w:val="0"/>
                <w:numId w:val="3"/>
              </w:numPr>
              <w:tabs>
                <w:tab w:val="left" w:pos="0"/>
                <w:tab w:val="left" w:pos="231"/>
              </w:tabs>
              <w:spacing w:line="240" w:lineRule="auto"/>
              <w:ind w:left="179" w:hanging="142"/>
              <w:rPr>
                <w:rFonts w:ascii="Times New Roman" w:hAnsi="Times New Roman"/>
                <w:lang w:val="uk-UA"/>
              </w:rPr>
            </w:pPr>
            <w:r>
              <w:rPr>
                <w:rFonts w:ascii="Times New Roman" w:hAnsi="Times New Roman"/>
                <w:lang w:val="uk-UA"/>
              </w:rPr>
              <w:t>класифікувати, обгрунтовувати доцільність використання платіжних систем відповідно до конкретних платіжних потреб;</w:t>
            </w:r>
          </w:p>
          <w:p>
            <w:pPr>
              <w:pStyle w:val="20"/>
              <w:numPr>
                <w:ilvl w:val="0"/>
                <w:numId w:val="3"/>
              </w:numPr>
              <w:tabs>
                <w:tab w:val="left" w:pos="0"/>
                <w:tab w:val="left" w:pos="231"/>
              </w:tabs>
              <w:spacing w:line="240" w:lineRule="auto"/>
              <w:ind w:left="179" w:hanging="142"/>
              <w:rPr>
                <w:rFonts w:ascii="Times New Roman" w:hAnsi="Times New Roman"/>
                <w:lang w:val="uk-UA"/>
              </w:rPr>
            </w:pPr>
            <w:r>
              <w:rPr>
                <w:rFonts w:ascii="Times New Roman" w:hAnsi="Times New Roman"/>
                <w:lang w:val="uk-UA"/>
              </w:rPr>
              <w:t>використовувати різні типи платіжних інструментів під час проведення безготівкових розрахунків;</w:t>
            </w:r>
          </w:p>
          <w:p>
            <w:pPr>
              <w:pStyle w:val="20"/>
              <w:numPr>
                <w:ilvl w:val="0"/>
                <w:numId w:val="3"/>
              </w:numPr>
              <w:tabs>
                <w:tab w:val="left" w:pos="0"/>
                <w:tab w:val="left" w:pos="231"/>
              </w:tabs>
              <w:spacing w:line="240" w:lineRule="auto"/>
              <w:ind w:left="179" w:hanging="142"/>
              <w:rPr>
                <w:rFonts w:ascii="Times New Roman" w:hAnsi="Times New Roman"/>
                <w:lang w:val="uk-UA"/>
              </w:rPr>
            </w:pPr>
            <w:r>
              <w:rPr>
                <w:rFonts w:ascii="Times New Roman" w:hAnsi="Times New Roman"/>
                <w:lang w:val="uk-UA"/>
              </w:rPr>
              <w:t>виявляти ризики та впроваджувати запобіжні заходи щодо потенційних кризових ситуацій у діяльності платіжних систем;</w:t>
            </w:r>
          </w:p>
          <w:p>
            <w:pPr>
              <w:pStyle w:val="20"/>
              <w:numPr>
                <w:ilvl w:val="0"/>
                <w:numId w:val="3"/>
              </w:numPr>
              <w:tabs>
                <w:tab w:val="left" w:pos="0"/>
                <w:tab w:val="left" w:pos="231"/>
              </w:tabs>
              <w:spacing w:line="240" w:lineRule="auto"/>
              <w:ind w:left="179" w:hanging="142"/>
              <w:rPr>
                <w:rFonts w:ascii="Times New Roman" w:hAnsi="Times New Roman"/>
                <w:lang w:val="uk-UA"/>
              </w:rPr>
            </w:pPr>
            <w:r>
              <w:rPr>
                <w:rFonts w:ascii="Times New Roman" w:hAnsi="Times New Roman"/>
                <w:lang w:val="uk-UA"/>
              </w:rPr>
              <w:t>використовувати системи дистанційного банківського обслуговування;</w:t>
            </w:r>
          </w:p>
          <w:p>
            <w:pPr>
              <w:pStyle w:val="20"/>
              <w:numPr>
                <w:ilvl w:val="0"/>
                <w:numId w:val="3"/>
              </w:numPr>
              <w:tabs>
                <w:tab w:val="left" w:pos="0"/>
                <w:tab w:val="left" w:pos="231"/>
              </w:tabs>
              <w:spacing w:line="240" w:lineRule="auto"/>
              <w:ind w:left="179" w:hanging="142"/>
              <w:rPr>
                <w:rFonts w:ascii="Times New Roman" w:hAnsi="Times New Roman"/>
                <w:lang w:val="uk-UA"/>
              </w:rPr>
            </w:pPr>
            <w:r>
              <w:rPr>
                <w:rFonts w:ascii="Times New Roman" w:hAnsi="Times New Roman"/>
                <w:lang w:val="uk-UA"/>
              </w:rPr>
              <w:t>аналізувати ефективність роботи внутрішньодержавних платіжних систем та організовувати міжбанківські розрахунки;</w:t>
            </w:r>
          </w:p>
          <w:p>
            <w:pPr>
              <w:pStyle w:val="20"/>
              <w:numPr>
                <w:ilvl w:val="0"/>
                <w:numId w:val="3"/>
              </w:numPr>
              <w:tabs>
                <w:tab w:val="left" w:pos="0"/>
                <w:tab w:val="left" w:pos="231"/>
              </w:tabs>
              <w:spacing w:line="240" w:lineRule="auto"/>
              <w:ind w:left="179" w:hanging="142"/>
              <w:rPr>
                <w:rFonts w:ascii="Times New Roman" w:hAnsi="Times New Roman"/>
                <w:lang w:val="uk-UA"/>
              </w:rPr>
            </w:pPr>
            <w:r>
              <w:rPr>
                <w:rFonts w:ascii="Times New Roman" w:hAnsi="Times New Roman"/>
                <w:lang w:val="uk-UA"/>
              </w:rPr>
              <w:t>проводити платіжні операції через внутрішньодержавні та міжнародні платіжні системи, використовуючи інноваційні платіжні технології.</w:t>
            </w:r>
          </w:p>
        </w:tc>
      </w:tr>
      <w:tr>
        <w:tblPrEx>
          <w:tblCellMar>
            <w:top w:w="100" w:type="dxa"/>
            <w:left w:w="100" w:type="dxa"/>
            <w:bottom w:w="100" w:type="dxa"/>
            <w:right w:w="100" w:type="dxa"/>
          </w:tblCellMar>
        </w:tblPrEx>
        <w:trPr>
          <w:trHeight w:val="589"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Ключові слова</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widowControl w:val="0"/>
              <w:spacing w:line="240" w:lineRule="auto"/>
              <w:rPr>
                <w:rFonts w:ascii="Times New Roman" w:hAnsi="Times New Roman" w:cs="Times New Roman"/>
                <w:lang w:val="uk-UA"/>
              </w:rPr>
            </w:pPr>
            <w:r>
              <w:rPr>
                <w:rFonts w:ascii="Times New Roman" w:hAnsi="Times New Roman" w:cs="Times New Roman"/>
                <w:lang w:val="uk-UA"/>
              </w:rPr>
              <w:t>Платіжна система, платіжні послуги, платіжні інструменти, оператори послуг платіжної інфраструктури, процесинг, кліринг, оверсайт, банк-емітент, банк-еквайр, еквайринг, авторизація, електронні платіжні засоби, документи на переказ, ВМПС, електронний підпис, СЕП НБУ, НПС “ПРОСТІР”, ризики платіжних систем, безпека платіжних систем.</w:t>
            </w:r>
          </w:p>
        </w:tc>
      </w:tr>
      <w:tr>
        <w:tblPrEx>
          <w:tblCellMar>
            <w:top w:w="100" w:type="dxa"/>
            <w:left w:w="100" w:type="dxa"/>
            <w:bottom w:w="100" w:type="dxa"/>
            <w:right w:w="100" w:type="dxa"/>
          </w:tblCellMar>
        </w:tblPrEx>
        <w:trPr>
          <w:trHeight w:val="589"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Формат курсу</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widowControl w:val="0"/>
              <w:spacing w:line="240" w:lineRule="auto"/>
              <w:rPr>
                <w:rFonts w:ascii="Times New Roman" w:hAnsi="Times New Roman" w:cs="Times New Roman"/>
                <w:lang w:val="uk-UA"/>
              </w:rPr>
            </w:pPr>
            <w:r>
              <w:rPr>
                <w:rFonts w:ascii="Times New Roman" w:hAnsi="Times New Roman" w:cs="Times New Roman"/>
                <w:lang w:val="uk-UA"/>
              </w:rPr>
              <w:t>Очний</w:t>
            </w:r>
          </w:p>
        </w:tc>
      </w:tr>
      <w:tr>
        <w:tblPrEx>
          <w:tblCellMar>
            <w:top w:w="100" w:type="dxa"/>
            <w:left w:w="100" w:type="dxa"/>
            <w:bottom w:w="100" w:type="dxa"/>
            <w:right w:w="100" w:type="dxa"/>
          </w:tblCellMar>
        </w:tblPrEx>
        <w:trPr>
          <w:trHeight w:val="555"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spacing w:line="240" w:lineRule="auto"/>
              <w:rPr>
                <w:rFonts w:ascii="Times New Roman" w:hAnsi="Times New Roman" w:cs="Times New Roman"/>
                <w:bCs/>
                <w:color w:val="000000"/>
                <w:lang w:val="uk-UA"/>
              </w:rPr>
            </w:pPr>
            <w:r>
              <w:rPr>
                <w:rFonts w:ascii="Times New Roman" w:hAnsi="Times New Roman" w:cs="Times New Roman"/>
                <w:bCs/>
                <w:color w:val="000000"/>
                <w:lang w:val="uk-UA"/>
              </w:rPr>
              <w:t>Проведення лекцій, практичних занять та консультації для кращого розуміння тем</w:t>
            </w:r>
          </w:p>
        </w:tc>
      </w:tr>
      <w:tr>
        <w:tblPrEx>
          <w:tblCellMar>
            <w:top w:w="100" w:type="dxa"/>
            <w:left w:w="100" w:type="dxa"/>
            <w:bottom w:w="100" w:type="dxa"/>
            <w:right w:w="100" w:type="dxa"/>
          </w:tblCellMar>
        </w:tblPrEx>
        <w:trPr>
          <w:trHeight w:val="555"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 xml:space="preserve">Теми </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spacing w:line="240" w:lineRule="auto"/>
              <w:jc w:val="center"/>
              <w:rPr>
                <w:rFonts w:ascii="Times New Roman" w:hAnsi="Times New Roman" w:cs="Times New Roman"/>
                <w:lang w:val="uk-UA"/>
              </w:rPr>
            </w:pPr>
            <w:r>
              <w:rPr>
                <w:rFonts w:ascii="Times New Roman" w:hAnsi="Times New Roman" w:cs="Times New Roman"/>
                <w:b/>
                <w:color w:val="000000"/>
                <w:lang w:val="uk-UA"/>
              </w:rPr>
              <w:t>ДОДАТОК (схема курсу)</w:t>
            </w:r>
          </w:p>
        </w:tc>
      </w:tr>
      <w:tr>
        <w:tblPrEx>
          <w:tblCellMar>
            <w:top w:w="100" w:type="dxa"/>
            <w:left w:w="100" w:type="dxa"/>
            <w:bottom w:w="100" w:type="dxa"/>
            <w:right w:w="100" w:type="dxa"/>
          </w:tblCellMar>
        </w:tblPrEx>
        <w:trPr>
          <w:trHeight w:val="480"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Підсумковий контроль, форма</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widowControl w:val="0"/>
              <w:spacing w:line="240" w:lineRule="auto"/>
              <w:rPr>
                <w:rFonts w:ascii="Times New Roman" w:hAnsi="Times New Roman" w:cs="Times New Roman"/>
                <w:lang w:val="uk-UA"/>
              </w:rPr>
            </w:pPr>
            <w:r>
              <w:rPr>
                <w:rFonts w:ascii="Times New Roman" w:hAnsi="Times New Roman" w:cs="Times New Roman"/>
                <w:lang w:val="uk-UA"/>
              </w:rPr>
              <w:t>Залік в кінці 3 семестру.</w:t>
            </w:r>
          </w:p>
        </w:tc>
      </w:tr>
      <w:tr>
        <w:tblPrEx>
          <w:tblCellMar>
            <w:top w:w="100" w:type="dxa"/>
            <w:left w:w="100" w:type="dxa"/>
            <w:bottom w:w="100" w:type="dxa"/>
            <w:right w:w="100" w:type="dxa"/>
          </w:tblCellMar>
        </w:tblPrEx>
        <w:trPr>
          <w:trHeight w:val="658"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Пререквізити</w:t>
            </w:r>
          </w:p>
          <w:p>
            <w:pPr>
              <w:spacing w:line="240" w:lineRule="auto"/>
              <w:rPr>
                <w:rFonts w:ascii="Times New Roman" w:hAnsi="Times New Roman" w:cs="Times New Roman"/>
                <w:b/>
                <w:sz w:val="24"/>
                <w:szCs w:val="24"/>
                <w:lang w:val="uk-UA"/>
              </w:rPr>
            </w:pP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jc w:val="both"/>
              <w:rPr>
                <w:rFonts w:ascii="Times New Roman" w:hAnsi="Times New Roman" w:cs="Times New Roman"/>
                <w:lang w:val="uk-UA"/>
              </w:rPr>
            </w:pPr>
            <w:r>
              <w:rPr>
                <w:rFonts w:ascii="Times New Roman" w:hAnsi="Times New Roman" w:cs="Times New Roman"/>
                <w:lang w:val="uk-UA"/>
              </w:rPr>
              <w:t>Для вивчення дисципліни студенти потребують базових знань з дисциплін циклу професійної підготовки “Гроші і кредит”, “Центральний банк і грошово-кредитна політика”, “Банківська система”, “Банківські операції”, “Ринок фінансових послуг”, достатніх для сприйняття категоріального апарату платіжних відносин, розуміння базових принципів внутрішньобанківських, міжбанківських та розрахунків за участю фізичних осіб.</w:t>
            </w:r>
          </w:p>
        </w:tc>
      </w:tr>
      <w:tr>
        <w:tblPrEx>
          <w:tblCellMar>
            <w:top w:w="100" w:type="dxa"/>
            <w:left w:w="100" w:type="dxa"/>
            <w:bottom w:w="100" w:type="dxa"/>
            <w:right w:w="100" w:type="dxa"/>
          </w:tblCellMar>
        </w:tblPrEx>
        <w:trPr>
          <w:trHeight w:val="1049"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Навчальні методи та техніки, які будуть використовуватися під час викладання курсу</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widowControl w:val="0"/>
              <w:spacing w:line="240" w:lineRule="auto"/>
              <w:rPr>
                <w:rFonts w:ascii="Times New Roman" w:hAnsi="Times New Roman" w:cs="Times New Roman"/>
                <w:lang w:val="uk-UA"/>
              </w:rPr>
            </w:pPr>
            <w:r>
              <w:rPr>
                <w:rFonts w:ascii="Times New Roman" w:hAnsi="Times New Roman" w:cs="Times New Roman"/>
                <w:lang w:val="uk-UA"/>
              </w:rPr>
              <w:t>Презентації, лекції, дискусії, аналіз проблемних ситуацій.</w:t>
            </w:r>
          </w:p>
          <w:p>
            <w:pPr>
              <w:widowControl w:val="0"/>
              <w:spacing w:line="240" w:lineRule="auto"/>
              <w:rPr>
                <w:rFonts w:ascii="Times New Roman" w:hAnsi="Times New Roman" w:cs="Times New Roman"/>
                <w:lang w:val="uk-UA"/>
              </w:rPr>
            </w:pPr>
            <w:r>
              <w:rPr>
                <w:rFonts w:ascii="Times New Roman" w:hAnsi="Times New Roman" w:cs="Times New Roman"/>
                <w:lang w:val="uk-UA"/>
              </w:rPr>
              <w:t>Навчання шляхом залучення.</w:t>
            </w:r>
          </w:p>
          <w:p>
            <w:pPr>
              <w:widowControl w:val="0"/>
              <w:spacing w:line="240" w:lineRule="auto"/>
              <w:rPr>
                <w:rFonts w:ascii="Times New Roman" w:hAnsi="Times New Roman" w:cs="Times New Roman"/>
                <w:lang w:val="uk-UA"/>
              </w:rPr>
            </w:pPr>
            <w:r>
              <w:rPr>
                <w:rFonts w:ascii="Times New Roman" w:hAnsi="Times New Roman" w:cs="Times New Roman"/>
                <w:lang w:val="uk-UA"/>
              </w:rPr>
              <w:t>Фасилітація процесу навчання.</w:t>
            </w:r>
          </w:p>
        </w:tc>
      </w:tr>
      <w:tr>
        <w:tblPrEx>
          <w:tblCellMar>
            <w:top w:w="100" w:type="dxa"/>
            <w:left w:w="100" w:type="dxa"/>
            <w:bottom w:w="100" w:type="dxa"/>
            <w:right w:w="100" w:type="dxa"/>
          </w:tblCellMar>
        </w:tblPrEx>
        <w:trPr>
          <w:trHeight w:val="572"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Необхідне обладнання</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widowControl w:val="0"/>
              <w:spacing w:line="240" w:lineRule="auto"/>
              <w:rPr>
                <w:rFonts w:ascii="Times New Roman" w:hAnsi="Times New Roman" w:cs="Times New Roman"/>
                <w:lang w:val="uk-UA"/>
              </w:rPr>
            </w:pPr>
            <w:r>
              <w:rPr>
                <w:rFonts w:ascii="Times New Roman" w:hAnsi="Times New Roman" w:cs="Times New Roman"/>
                <w:lang w:val="uk-UA"/>
              </w:rPr>
              <w:t>Проектор, ноутбук, роздатковий матеріал, навчально-методичні рекомендації</w:t>
            </w:r>
          </w:p>
        </w:tc>
      </w:tr>
      <w:tr>
        <w:tblPrEx>
          <w:tblCellMar>
            <w:top w:w="100" w:type="dxa"/>
            <w:left w:w="100" w:type="dxa"/>
            <w:bottom w:w="100" w:type="dxa"/>
            <w:right w:w="100" w:type="dxa"/>
          </w:tblCellMar>
        </w:tblPrEx>
        <w:trPr>
          <w:trHeight w:val="1280"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Критерії оцінювання (окремо для кожного виду навчальної діяльності)</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widowControl w:val="0"/>
              <w:spacing w:line="240" w:lineRule="auto"/>
              <w:rPr>
                <w:rFonts w:ascii="Times New Roman" w:hAnsi="Times New Roman" w:cs="Times New Roman"/>
                <w:lang w:val="uk-UA"/>
              </w:rPr>
            </w:pPr>
            <w:r>
              <w:rPr>
                <w:rFonts w:ascii="Times New Roman" w:hAnsi="Times New Roman" w:cs="Times New Roman"/>
                <w:lang w:val="uk-UA"/>
              </w:rPr>
              <w:t>Оцінювання проводиться за 100-бальною шкалою. Бали нараховуються за таким співвідношенням:</w:t>
            </w:r>
          </w:p>
          <w:p>
            <w:pPr>
              <w:pStyle w:val="20"/>
              <w:widowControl w:val="0"/>
              <w:numPr>
                <w:ilvl w:val="0"/>
                <w:numId w:val="4"/>
              </w:numPr>
              <w:spacing w:line="240" w:lineRule="auto"/>
              <w:rPr>
                <w:rFonts w:ascii="Times New Roman" w:hAnsi="Times New Roman"/>
                <w:lang w:val="uk-UA"/>
              </w:rPr>
            </w:pPr>
            <w:r>
              <w:rPr>
                <w:rFonts w:ascii="Times New Roman" w:hAnsi="Times New Roman"/>
                <w:lang w:val="uk-UA"/>
              </w:rPr>
              <w:t>робота на практичних заняттях: максимальна кількість балів 10;</w:t>
            </w:r>
          </w:p>
          <w:p>
            <w:pPr>
              <w:pStyle w:val="20"/>
              <w:widowControl w:val="0"/>
              <w:numPr>
                <w:ilvl w:val="0"/>
                <w:numId w:val="4"/>
              </w:numPr>
              <w:spacing w:line="240" w:lineRule="auto"/>
              <w:rPr>
                <w:rFonts w:ascii="Times New Roman" w:hAnsi="Times New Roman"/>
                <w:lang w:val="uk-UA"/>
              </w:rPr>
            </w:pPr>
            <w:r>
              <w:rPr>
                <w:rFonts w:ascii="Times New Roman" w:hAnsi="Times New Roman"/>
                <w:lang w:val="uk-UA"/>
              </w:rPr>
              <w:t>виконання індивідуальних завдань: максимальна кількість балів 60:</w:t>
            </w:r>
          </w:p>
          <w:p>
            <w:pPr>
              <w:pStyle w:val="20"/>
              <w:widowControl w:val="0"/>
              <w:numPr>
                <w:ilvl w:val="0"/>
                <w:numId w:val="5"/>
              </w:numPr>
              <w:tabs>
                <w:tab w:val="left" w:pos="880"/>
                <w:tab w:val="clear" w:pos="420"/>
              </w:tabs>
              <w:spacing w:line="240" w:lineRule="auto"/>
              <w:ind w:left="1320" w:hanging="440"/>
              <w:rPr>
                <w:rFonts w:ascii="Times New Roman" w:hAnsi="Times New Roman"/>
                <w:i/>
                <w:iCs/>
                <w:lang w:val="uk-UA"/>
              </w:rPr>
            </w:pPr>
            <w:r>
              <w:rPr>
                <w:rFonts w:ascii="Times New Roman" w:hAnsi="Times New Roman"/>
                <w:i/>
                <w:iCs/>
                <w:lang w:val="uk-UA"/>
              </w:rPr>
              <w:t>написання і публікація тез за тематикою дисципліни - 40 балів;</w:t>
            </w:r>
          </w:p>
          <w:p>
            <w:pPr>
              <w:pStyle w:val="20"/>
              <w:widowControl w:val="0"/>
              <w:numPr>
                <w:ilvl w:val="0"/>
                <w:numId w:val="5"/>
              </w:numPr>
              <w:tabs>
                <w:tab w:val="left" w:pos="880"/>
                <w:tab w:val="clear" w:pos="420"/>
              </w:tabs>
              <w:spacing w:line="240" w:lineRule="auto"/>
              <w:ind w:left="1320" w:hanging="440"/>
              <w:rPr>
                <w:rFonts w:ascii="Times New Roman" w:hAnsi="Times New Roman"/>
                <w:i/>
                <w:iCs/>
                <w:lang w:val="uk-UA"/>
              </w:rPr>
            </w:pPr>
            <w:r>
              <w:rPr>
                <w:rFonts w:ascii="Times New Roman" w:hAnsi="Times New Roman"/>
                <w:i/>
                <w:iCs/>
                <w:lang w:val="uk-UA"/>
              </w:rPr>
              <w:t>аналітичний (критичний) огляд наукових публікацій за тематикою дисципліни - максимальна кількість балів 20;</w:t>
            </w:r>
          </w:p>
          <w:p>
            <w:pPr>
              <w:pStyle w:val="20"/>
              <w:widowControl w:val="0"/>
              <w:numPr>
                <w:ilvl w:val="0"/>
                <w:numId w:val="4"/>
              </w:numPr>
              <w:spacing w:line="240" w:lineRule="auto"/>
              <w:rPr>
                <w:rFonts w:ascii="Times New Roman" w:hAnsi="Times New Roman"/>
                <w:lang w:val="uk-UA"/>
              </w:rPr>
            </w:pPr>
            <w:r>
              <w:rPr>
                <w:rFonts w:ascii="Times New Roman" w:hAnsi="Times New Roman"/>
                <w:lang w:val="uk-UA"/>
              </w:rPr>
              <w:t>підсумкове тестування: максимальна кількість балів 30;</w:t>
            </w:r>
          </w:p>
          <w:p>
            <w:pPr>
              <w:pStyle w:val="20"/>
              <w:widowControl w:val="0"/>
              <w:spacing w:line="240" w:lineRule="auto"/>
              <w:ind w:left="0"/>
              <w:rPr>
                <w:rFonts w:ascii="Times New Roman" w:hAnsi="Times New Roman"/>
                <w:lang w:val="uk-UA"/>
              </w:rPr>
            </w:pPr>
          </w:p>
          <w:p>
            <w:pPr>
              <w:pStyle w:val="20"/>
              <w:widowControl w:val="0"/>
              <w:spacing w:line="240" w:lineRule="auto"/>
              <w:ind w:left="0"/>
              <w:rPr>
                <w:rFonts w:ascii="Times New Roman" w:hAnsi="Times New Roman"/>
                <w:lang w:val="uk-UA"/>
              </w:rPr>
            </w:pPr>
            <w:r>
              <w:rPr>
                <w:rFonts w:ascii="Times New Roman" w:hAnsi="Times New Roman"/>
                <w:lang w:val="uk-UA"/>
              </w:rPr>
              <w:t>Залік виставляється за підсумками навчання упродовж семестру, максимальна кількість балів 100.</w:t>
            </w:r>
          </w:p>
          <w:p>
            <w:pPr>
              <w:widowControl w:val="0"/>
              <w:spacing w:line="240" w:lineRule="auto"/>
              <w:jc w:val="both"/>
              <w:rPr>
                <w:rFonts w:ascii="Times New Roman" w:hAnsi="Times New Roman"/>
                <w:lang w:val="uk-UA"/>
              </w:rPr>
            </w:pPr>
            <w:r>
              <w:rPr>
                <w:rFonts w:ascii="Times New Roman" w:hAnsi="Times New Roman"/>
                <w:b/>
                <w:bCs/>
                <w:lang w:val="uk-UA"/>
              </w:rPr>
              <w:t xml:space="preserve">Письмові роботи: </w:t>
            </w:r>
            <w:r>
              <w:rPr>
                <w:rFonts w:ascii="Times New Roman" w:hAnsi="Times New Roman"/>
                <w:lang w:val="uk-UA"/>
              </w:rPr>
              <w:t>Очікується, що</w:t>
            </w:r>
            <w:r>
              <w:rPr>
                <w:rFonts w:ascii="Times New Roman" w:hAnsi="Times New Roman"/>
                <w:b/>
                <w:bCs/>
                <w:lang w:val="uk-UA"/>
              </w:rPr>
              <w:t xml:space="preserve"> </w:t>
            </w:r>
            <w:r>
              <w:rPr>
                <w:rFonts w:ascii="Times New Roman" w:hAnsi="Times New Roman"/>
                <w:lang w:val="uk-UA"/>
              </w:rPr>
              <w:t>студенти виконають індивідуальні завдання (написання та публікація тез, аналітичний (критичний) огляд наукових публікацій за тематикою дисципліни).</w:t>
            </w:r>
          </w:p>
          <w:p>
            <w:pPr>
              <w:spacing w:line="240" w:lineRule="auto"/>
              <w:jc w:val="both"/>
              <w:rPr>
                <w:rFonts w:ascii="Times New Roman" w:hAnsi="Times New Roman" w:cs="Times New Roman"/>
                <w:lang w:val="uk-UA" w:eastAsia="en-US"/>
              </w:rPr>
            </w:pPr>
            <w:r>
              <w:rPr>
                <w:rFonts w:ascii="Times New Roman" w:hAnsi="Times New Roman" w:cs="Times New Roman"/>
                <w:b/>
                <w:bCs/>
                <w:lang w:val="uk-UA"/>
              </w:rPr>
              <w:t xml:space="preserve">Академічна доброчесність: </w:t>
            </w:r>
            <w:r>
              <w:rPr>
                <w:rFonts w:ascii="Times New Roman" w:hAnsi="Times New Roman" w:cs="Times New Roman"/>
                <w:color w:val="000000"/>
                <w:lang w:val="uk-UA" w:eastAsia="en-US"/>
              </w:rPr>
              <w:t xml:space="preserve">Очікується, що роботи студентів будуть їх оригінальними дослідженнями чи міркуваннями. Відсутність посилань на використані джерела, фабрикування джерел, списування, втручання в роботу інших студентів становлять, але не обмежують приклади можливої академічної недоброчесності. Виявлення ознак академічної недоброчесності в письмовій роботі студента є підставою для її незарахування викладачем, незалежно від масштабів плагіату чи обману. </w:t>
            </w:r>
            <w:r>
              <w:rPr>
                <w:rFonts w:ascii="Times New Roman" w:hAnsi="Times New Roman" w:cs="Times New Roman"/>
                <w:b/>
                <w:color w:val="000000"/>
                <w:lang w:val="uk-UA" w:eastAsia="en-US"/>
              </w:rPr>
              <w:t>Відвідування занять</w:t>
            </w:r>
            <w:r>
              <w:rPr>
                <w:rFonts w:ascii="Times New Roman" w:hAnsi="Times New Roman" w:cs="Times New Roman"/>
                <w:color w:val="000000"/>
                <w:lang w:val="uk-UA" w:eastAsia="en-US"/>
              </w:rPr>
              <w:t xml:space="preserve"> є важливою складовою навчання. Очікується, що всі студенти відвідають усі лекції і практичні зайняття курсу. Студенти мають інформувати викладача про неможливість відвідати заняття. У будь-якому випадку студенти зобов’язані дотримуватися усіх строків визначених для виконання усіх видів письмових робіт, передбачених курсом. </w:t>
            </w:r>
            <w:r>
              <w:rPr>
                <w:rFonts w:ascii="Times New Roman" w:hAnsi="Times New Roman" w:cs="Times New Roman"/>
                <w:b/>
                <w:color w:val="000000"/>
                <w:lang w:val="uk-UA" w:eastAsia="en-US"/>
              </w:rPr>
              <w:t>Література.</w:t>
            </w:r>
            <w:r>
              <w:rPr>
                <w:rFonts w:ascii="Times New Roman" w:hAnsi="Times New Roman" w:cs="Times New Roman"/>
                <w:color w:val="000000"/>
                <w:lang w:val="uk-UA" w:eastAsia="en-US"/>
              </w:rPr>
              <w:t xml:space="preserve"> Уся література, яку студенти не зможуть знайти самостійно, буде надана викладачем виключно в освітніх цілях без права її передачі третім особам. Студенти заохочуються до використання також й іншої літератури та джерел, яких немає серед рекомендованих.</w:t>
            </w:r>
          </w:p>
          <w:p>
            <w:pPr>
              <w:spacing w:line="240" w:lineRule="auto"/>
              <w:jc w:val="both"/>
              <w:rPr>
                <w:rFonts w:ascii="Times New Roman" w:hAnsi="Times New Roman" w:cs="Times New Roman"/>
                <w:lang w:val="uk-UA" w:eastAsia="en-US"/>
              </w:rPr>
            </w:pPr>
          </w:p>
          <w:p>
            <w:pPr>
              <w:shd w:val="clear" w:color="auto" w:fill="FFFFFF"/>
              <w:spacing w:line="240" w:lineRule="auto"/>
              <w:jc w:val="both"/>
              <w:textAlignment w:val="baseline"/>
              <w:rPr>
                <w:rFonts w:ascii="Times New Roman" w:hAnsi="Times New Roman" w:cs="Times New Roman"/>
                <w:lang w:val="uk-UA"/>
              </w:rPr>
            </w:pPr>
            <w:r>
              <w:rPr>
                <w:rFonts w:ascii="Times New Roman" w:hAnsi="Times New Roman" w:cs="Times New Roman"/>
                <w:b/>
                <w:bCs/>
                <w:lang w:val="uk-UA" w:eastAsia="en-US"/>
              </w:rPr>
              <w:t>П</w:t>
            </w:r>
            <w:r>
              <w:rPr>
                <w:rFonts w:ascii="Times New Roman" w:hAnsi="Times New Roman" w:cs="Times New Roman"/>
                <w:b/>
                <w:bCs/>
                <w:lang w:val="uk-UA"/>
              </w:rPr>
              <w:t>олітика виставлення балів.</w:t>
            </w:r>
            <w:r>
              <w:rPr>
                <w:rFonts w:ascii="Times New Roman" w:hAnsi="Times New Roman" w:cs="Times New Roman"/>
                <w:lang w:val="uk-UA"/>
              </w:rPr>
              <w:t xml:space="preserve"> Враховуються бали, набрані на практичних заняттях, за результатами індивідуальних завдань та бали підсумкового тестування. При цьому обов’язково враховуються присутність на заняттях та активність студента під час практичного заняття; недопустимість пропусків та запізнень на заняття; користування мобільним телефоном, планшетом чи іншими мобільними пристроями під час заняття в цілях не пов’язаних з навчанням; списування та плагіат; несвоєчасне виконання поставленого завдання і т. ін.</w:t>
            </w:r>
          </w:p>
          <w:p>
            <w:pPr>
              <w:shd w:val="clear" w:color="auto" w:fill="FFFFFF"/>
              <w:spacing w:line="240" w:lineRule="auto"/>
              <w:jc w:val="both"/>
              <w:textAlignment w:val="baseline"/>
              <w:rPr>
                <w:rFonts w:ascii="Times New Roman" w:hAnsi="Times New Roman" w:cs="Times New Roman"/>
                <w:lang w:val="uk-UA"/>
              </w:rPr>
            </w:pPr>
          </w:p>
          <w:p>
            <w:pPr>
              <w:shd w:val="clear" w:color="auto" w:fill="FFFFFF"/>
              <w:spacing w:line="240" w:lineRule="auto"/>
              <w:jc w:val="both"/>
              <w:textAlignment w:val="baseline"/>
              <w:rPr>
                <w:rFonts w:ascii="Times New Roman" w:hAnsi="Times New Roman" w:cs="Times New Roman"/>
                <w:lang w:val="uk-UA"/>
              </w:rPr>
            </w:pPr>
            <w:r>
              <w:rPr>
                <w:rFonts w:ascii="Times New Roman" w:hAnsi="Times New Roman" w:cs="Times New Roman"/>
                <w:lang w:val="uk-UA" w:eastAsia="en-US"/>
              </w:rPr>
              <w:t>Жодні форми порушення академічної доброчесності не толеруються.</w:t>
            </w:r>
          </w:p>
        </w:tc>
      </w:tr>
      <w:tr>
        <w:tblPrEx>
          <w:tblCellMar>
            <w:top w:w="100" w:type="dxa"/>
            <w:left w:w="100" w:type="dxa"/>
            <w:bottom w:w="100" w:type="dxa"/>
            <w:right w:w="100" w:type="dxa"/>
          </w:tblCellMar>
        </w:tblPrEx>
        <w:trPr>
          <w:trHeight w:val="1280"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Питання до контрольної роботи (підсумкового тестування)</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Суть та елементи платіжної системи</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Якісні характеристики платіжної системи</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Організаційна структура платіжної системи</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Види платіжних систем</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Поняття та види ризиків платіжних систем</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Управління ризиками та безпека платіжних систем</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Центральний банк та його функції у платіжній системі</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Роль комерційних банків у діяльності платіжної системи</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Небанківські надавачі платіжних послуг</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Поняття та принципи організації платіжної операції</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Платіжний інструмент як елемент платіжної операції</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Міжнародна класифікація платіжних інструментів</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Платіжні технології</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Вітчизняна класифікація платіжних інструментів</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Поняття та характеристика міжбанківських розрахунків</w:t>
            </w:r>
          </w:p>
          <w:p>
            <w:pPr>
              <w:numPr>
                <w:ilvl w:val="0"/>
                <w:numId w:val="6"/>
              </w:numPr>
              <w:spacing w:line="240" w:lineRule="auto"/>
              <w:ind w:left="660" w:leftChars="100" w:hanging="440" w:hangingChars="200"/>
              <w:jc w:val="both"/>
              <w:rPr>
                <w:rFonts w:ascii="Times New Roman" w:hAnsi="Times New Roman" w:cs="Times New Roman"/>
                <w:lang w:val="uk-UA"/>
              </w:rPr>
            </w:pPr>
            <w:r>
              <w:rPr>
                <w:rFonts w:ascii="Times New Roman" w:hAnsi="Times New Roman" w:cs="Times New Roman"/>
                <w:lang w:val="uk-UA"/>
              </w:rPr>
              <w:t>Особливості функціонування внутрішньобанківських платіжних систем</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Поняття та структура СЕП НБУ</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Міжбанківський переказ у СЕП НБУ</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Моделі обслуговування консолідованого коррахунку в СЕП НБУ</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Поняття та різновиди систем ДБО</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Телефонний банкінг</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Система “клієнт-банк”</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Інтернет- та мобільний банкінг</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Поняття та види систем масових платежів</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Учасники систем масових платежів</w:t>
            </w:r>
          </w:p>
          <w:p>
            <w:pPr>
              <w:numPr>
                <w:ilvl w:val="0"/>
                <w:numId w:val="6"/>
              </w:numPr>
              <w:spacing w:line="240" w:lineRule="auto"/>
              <w:ind w:left="660" w:leftChars="100" w:hanging="440" w:hangingChars="200"/>
              <w:jc w:val="both"/>
              <w:rPr>
                <w:rFonts w:ascii="Times New Roman" w:hAnsi="Times New Roman" w:cs="Times New Roman"/>
                <w:lang w:val="uk-UA"/>
              </w:rPr>
            </w:pPr>
            <w:r>
              <w:rPr>
                <w:rFonts w:ascii="Times New Roman" w:hAnsi="Times New Roman" w:cs="Times New Roman"/>
                <w:lang w:val="uk-UA"/>
              </w:rPr>
              <w:t>Взаємодія учасників систем масових платежів (на прикладі карткової платіжної системи)</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Системи масових платежів в мережі Інтернет</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Поняття та принципи діяльності НПС “ПРОСТІР”</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Організаційна структура НПС “ПРОСТІР”</w:t>
            </w:r>
          </w:p>
          <w:p>
            <w:pPr>
              <w:numPr>
                <w:ilvl w:val="0"/>
                <w:numId w:val="6"/>
              </w:numPr>
              <w:spacing w:line="240" w:lineRule="auto"/>
              <w:ind w:left="220" w:leftChars="100"/>
              <w:jc w:val="both"/>
              <w:rPr>
                <w:rFonts w:ascii="Times New Roman" w:hAnsi="Times New Roman" w:cs="Times New Roman"/>
                <w:lang w:val="uk-UA"/>
              </w:rPr>
            </w:pPr>
            <w:r>
              <w:rPr>
                <w:rFonts w:ascii="Times New Roman" w:hAnsi="Times New Roman" w:cs="Times New Roman"/>
                <w:lang w:val="uk-UA"/>
              </w:rPr>
              <w:t>ЕПЗ НПС “ПРОСТІР”</w:t>
            </w:r>
          </w:p>
        </w:tc>
      </w:tr>
      <w:tr>
        <w:tblPrEx>
          <w:tblCellMar>
            <w:top w:w="100" w:type="dxa"/>
            <w:left w:w="100" w:type="dxa"/>
            <w:bottom w:w="100" w:type="dxa"/>
            <w:right w:w="100" w:type="dxa"/>
          </w:tblCellMar>
        </w:tblPrEx>
        <w:trPr>
          <w:trHeight w:val="522"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 xml:space="preserve">Опитування </w:t>
            </w:r>
          </w:p>
        </w:tc>
        <w:tc>
          <w:tcPr>
            <w:tcW w:w="7655" w:type="dxa"/>
            <w:tcBorders>
              <w:top w:val="single" w:color="auto" w:sz="4" w:space="0"/>
              <w:left w:val="single" w:color="000000" w:sz="8" w:space="0"/>
              <w:bottom w:val="single" w:color="000000" w:sz="8" w:space="0"/>
              <w:right w:val="single" w:color="000000" w:sz="8" w:space="0"/>
            </w:tcBorders>
            <w:tcMar>
              <w:top w:w="100" w:type="dxa"/>
              <w:bottom w:w="100" w:type="dxa"/>
            </w:tcMar>
          </w:tcPr>
          <w:p>
            <w:pPr>
              <w:widowControl w:val="0"/>
              <w:spacing w:line="240" w:lineRule="auto"/>
              <w:rPr>
                <w:rFonts w:ascii="Times New Roman" w:hAnsi="Times New Roman" w:cs="Times New Roman"/>
                <w:highlight w:val="yellow"/>
                <w:lang w:val="uk-UA"/>
              </w:rPr>
            </w:pPr>
            <w:r>
              <w:rPr>
                <w:rFonts w:ascii="Times New Roman" w:hAnsi="Times New Roman" w:cs="Times New Roman"/>
                <w:lang w:val="uk-UA"/>
              </w:rPr>
              <w:t>Анкету-оцінку з метою оцінювання якості курсу буде надано після його завершення.</w:t>
            </w:r>
          </w:p>
        </w:tc>
      </w:tr>
    </w:tbl>
    <w:p>
      <w:pPr>
        <w:spacing w:before="240" w:after="240"/>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br w:type="page"/>
      </w: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44"/>
          <w:szCs w:val="44"/>
          <w:lang w:val="uk-UA"/>
        </w:rPr>
        <w:sectPr>
          <w:pgSz w:w="11907" w:h="16840"/>
          <w:pgMar w:top="851" w:right="851" w:bottom="851" w:left="851" w:header="0" w:footer="709" w:gutter="0"/>
          <w:pgNumType w:start="1"/>
          <w:cols w:space="720" w:num="1"/>
          <w:docGrid w:linePitch="299" w:charSpace="0"/>
        </w:sectPr>
      </w:pPr>
      <w:r>
        <w:rPr>
          <w:rFonts w:ascii="Times New Roman" w:hAnsi="Times New Roman" w:cs="Times New Roman"/>
          <w:b/>
          <w:color w:val="000000"/>
          <w:sz w:val="44"/>
          <w:szCs w:val="44"/>
          <w:lang w:val="uk-UA"/>
        </w:rPr>
        <w:t>ДОДАТОК</w:t>
      </w:r>
    </w:p>
    <w:p>
      <w:pPr>
        <w:jc w:val="center"/>
        <w:rPr>
          <w:rFonts w:ascii="Garamond" w:hAnsi="Garamond" w:cs="Garamond"/>
          <w:i/>
          <w:sz w:val="28"/>
          <w:szCs w:val="28"/>
          <w:lang w:val="uk-UA"/>
        </w:rPr>
      </w:pPr>
      <w:r>
        <w:rPr>
          <w:rFonts w:ascii="Times New Roman" w:hAnsi="Times New Roman" w:cs="Times New Roman"/>
          <w:b/>
          <w:sz w:val="24"/>
          <w:szCs w:val="24"/>
          <w:lang w:val="uk-UA"/>
        </w:rPr>
        <w:t xml:space="preserve">Схема курсу </w:t>
      </w:r>
    </w:p>
    <w:p>
      <w:pPr>
        <w:jc w:val="both"/>
        <w:rPr>
          <w:rFonts w:ascii="Garamond" w:hAnsi="Garamond" w:cs="Garamond"/>
          <w:i/>
          <w:sz w:val="28"/>
          <w:szCs w:val="28"/>
          <w:lang w:val="uk-UA"/>
        </w:rPr>
      </w:pPr>
    </w:p>
    <w:tbl>
      <w:tblPr>
        <w:tblStyle w:val="4"/>
        <w:tblW w:w="14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5117"/>
        <w:gridCol w:w="2213"/>
        <w:gridCol w:w="1718"/>
        <w:gridCol w:w="2853"/>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9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i/>
                <w:lang w:val="uk-UA"/>
              </w:rPr>
            </w:pPr>
            <w:r>
              <w:rPr>
                <w:rFonts w:ascii="Times New Roman" w:hAnsi="Times New Roman" w:cs="Times New Roman"/>
                <w:b/>
                <w:lang w:val="uk-UA"/>
              </w:rPr>
              <w:t>Тиж./год</w:t>
            </w:r>
          </w:p>
        </w:tc>
        <w:tc>
          <w:tcPr>
            <w:tcW w:w="511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i/>
                <w:lang w:val="uk-UA"/>
              </w:rPr>
            </w:pPr>
            <w:r>
              <w:rPr>
                <w:rFonts w:ascii="Times New Roman" w:hAnsi="Times New Roman" w:cs="Times New Roman"/>
                <w:b/>
                <w:lang w:val="uk-UA"/>
              </w:rPr>
              <w:t>Тема, план, короткі тези</w:t>
            </w:r>
          </w:p>
        </w:tc>
        <w:tc>
          <w:tcPr>
            <w:tcW w:w="22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i/>
                <w:lang w:val="uk-UA"/>
              </w:rPr>
            </w:pPr>
            <w:r>
              <w:rPr>
                <w:rFonts w:ascii="Times New Roman" w:hAnsi="Times New Roman" w:cs="Times New Roman"/>
                <w:b/>
                <w:lang w:val="uk-UA"/>
              </w:rPr>
              <w:t>Форма діяльності (заняття)* *лекція, самостійна, дискусія, групова робота)</w:t>
            </w:r>
          </w:p>
        </w:tc>
        <w:tc>
          <w:tcPr>
            <w:tcW w:w="171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lang w:val="uk-UA"/>
              </w:rPr>
            </w:pPr>
            <w:r>
              <w:rPr>
                <w:rFonts w:ascii="Times New Roman" w:hAnsi="Times New Roman" w:cs="Times New Roman"/>
                <w:b/>
                <w:lang w:val="uk-UA"/>
              </w:rPr>
              <w:t>Література.***</w:t>
            </w:r>
          </w:p>
          <w:p>
            <w:pPr>
              <w:spacing w:line="240" w:lineRule="auto"/>
              <w:rPr>
                <w:rFonts w:ascii="Times New Roman" w:hAnsi="Times New Roman" w:cs="Times New Roman"/>
                <w:b/>
                <w:i/>
                <w:lang w:val="uk-UA"/>
              </w:rPr>
            </w:pPr>
            <w:r>
              <w:rPr>
                <w:rFonts w:ascii="Times New Roman" w:hAnsi="Times New Roman" w:cs="Times New Roman"/>
                <w:b/>
                <w:lang w:val="uk-UA"/>
              </w:rPr>
              <w:t>Ресурси в інтернеті</w:t>
            </w:r>
          </w:p>
        </w:tc>
        <w:tc>
          <w:tcPr>
            <w:tcW w:w="285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i/>
                <w:lang w:val="uk-UA"/>
              </w:rPr>
            </w:pPr>
            <w:r>
              <w:rPr>
                <w:rFonts w:ascii="Times New Roman" w:hAnsi="Times New Roman" w:cs="Times New Roman"/>
                <w:b/>
                <w:lang w:val="uk-UA"/>
              </w:rPr>
              <w:t>Завдання, год</w:t>
            </w:r>
          </w:p>
        </w:tc>
        <w:tc>
          <w:tcPr>
            <w:tcW w:w="15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i/>
                <w:lang w:val="uk-UA"/>
              </w:rPr>
            </w:pPr>
            <w:r>
              <w:rPr>
                <w:rFonts w:ascii="Times New Roman" w:hAnsi="Times New Roman" w:cs="Times New Roman"/>
                <w:b/>
                <w:lang w:val="uk-UA"/>
              </w:rPr>
              <w:t>Термін виконання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149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color w:val="000000"/>
                <w:lang w:val="uk-UA"/>
              </w:rPr>
            </w:pPr>
            <w:r>
              <w:rPr>
                <w:rFonts w:ascii="Times New Roman" w:hAnsi="Times New Roman" w:cs="Times New Roman"/>
                <w:b/>
                <w:color w:val="000000"/>
                <w:lang w:val="uk-UA"/>
              </w:rPr>
              <w:t xml:space="preserve">Тиж. 1 / </w:t>
            </w:r>
          </w:p>
          <w:p>
            <w:pPr>
              <w:spacing w:line="240" w:lineRule="auto"/>
              <w:jc w:val="center"/>
              <w:rPr>
                <w:rFonts w:ascii="Times New Roman" w:hAnsi="Times New Roman" w:cs="Times New Roman"/>
                <w:color w:val="000000"/>
                <w:lang w:val="uk-UA"/>
              </w:rPr>
            </w:pPr>
            <w:r>
              <w:rPr>
                <w:rFonts w:ascii="Times New Roman" w:hAnsi="Times New Roman" w:cs="Times New Roman"/>
                <w:b/>
                <w:color w:val="000000"/>
                <w:lang w:val="uk-UA"/>
              </w:rPr>
              <w:t>2 год</w:t>
            </w:r>
          </w:p>
        </w:tc>
        <w:tc>
          <w:tcPr>
            <w:tcW w:w="5117" w:type="dxa"/>
            <w:vMerge w:val="restart"/>
            <w:vAlign w:val="center"/>
          </w:tcPr>
          <w:p>
            <w:pPr>
              <w:pStyle w:val="8"/>
              <w:tabs>
                <w:tab w:val="clear" w:pos="4677"/>
                <w:tab w:val="clear" w:pos="9355"/>
              </w:tabs>
              <w:rPr>
                <w:b/>
                <w:iCs/>
                <w:color w:val="000000"/>
                <w:sz w:val="22"/>
                <w:szCs w:val="22"/>
                <w:lang w:val="uk-UA"/>
              </w:rPr>
            </w:pPr>
            <w:r>
              <w:rPr>
                <w:b/>
                <w:iCs/>
                <w:sz w:val="22"/>
                <w:szCs w:val="22"/>
                <w:lang w:val="uk-UA"/>
              </w:rPr>
              <w:t>Тема 1.</w:t>
            </w:r>
            <w:r>
              <w:rPr>
                <w:b/>
                <w:iCs/>
                <w:color w:val="000000"/>
                <w:sz w:val="22"/>
                <w:szCs w:val="22"/>
              </w:rPr>
              <w:t xml:space="preserve"> </w:t>
            </w:r>
            <w:r>
              <w:rPr>
                <w:b/>
                <w:iCs/>
                <w:color w:val="000000"/>
                <w:sz w:val="22"/>
                <w:szCs w:val="22"/>
                <w:lang w:val="uk-UA"/>
              </w:rPr>
              <w:t>Загальні засади функціонування платіжних систем</w:t>
            </w:r>
          </w:p>
          <w:p>
            <w:pPr>
              <w:pStyle w:val="8"/>
              <w:tabs>
                <w:tab w:val="clear" w:pos="4677"/>
                <w:tab w:val="clear" w:pos="9355"/>
              </w:tabs>
              <w:rPr>
                <w:bCs/>
                <w:iCs/>
                <w:sz w:val="22"/>
                <w:szCs w:val="22"/>
                <w:lang w:val="uk-UA"/>
              </w:rPr>
            </w:pPr>
            <w:r>
              <w:rPr>
                <w:bCs/>
                <w:i/>
                <w:color w:val="000000"/>
                <w:sz w:val="22"/>
                <w:szCs w:val="22"/>
                <w:lang w:val="uk-UA"/>
              </w:rPr>
              <w:t>Суть та елементи платіжної системи.</w:t>
            </w:r>
            <w:r>
              <w:rPr>
                <w:bCs/>
                <w:i/>
                <w:sz w:val="22"/>
                <w:szCs w:val="22"/>
                <w:lang w:val="uk-UA"/>
              </w:rPr>
              <w:t xml:space="preserve"> </w:t>
            </w:r>
            <w:r>
              <w:rPr>
                <w:bCs/>
                <w:iCs/>
                <w:sz w:val="22"/>
                <w:szCs w:val="22"/>
                <w:lang w:val="uk-UA"/>
              </w:rPr>
              <w:t>Нормативно-правове забезпечення функціонування платіжних систем. Операційні механізми проведення платежів. Технологічна інфраструктура. Засоби захисту від несанкціонованого доступу та змін платіжної інформації.</w:t>
            </w:r>
          </w:p>
          <w:p>
            <w:pPr>
              <w:pStyle w:val="8"/>
              <w:tabs>
                <w:tab w:val="clear" w:pos="4677"/>
                <w:tab w:val="clear" w:pos="9355"/>
              </w:tabs>
              <w:rPr>
                <w:bCs/>
                <w:iCs/>
                <w:sz w:val="22"/>
                <w:szCs w:val="22"/>
                <w:lang w:val="uk-UA"/>
              </w:rPr>
            </w:pPr>
            <w:r>
              <w:rPr>
                <w:bCs/>
                <w:i/>
                <w:sz w:val="22"/>
                <w:szCs w:val="22"/>
                <w:lang w:val="uk-UA"/>
              </w:rPr>
              <w:t xml:space="preserve">Якісні характеристики платіжної системи. </w:t>
            </w:r>
            <w:r>
              <w:rPr>
                <w:bCs/>
                <w:iCs/>
                <w:sz w:val="22"/>
                <w:szCs w:val="22"/>
                <w:lang w:val="uk-UA"/>
              </w:rPr>
              <w:t>Ефективність. Оперативність. Економічність. Надійність. Безпека. Безперервність діяльності. Зручність.</w:t>
            </w:r>
          </w:p>
          <w:p>
            <w:pPr>
              <w:pStyle w:val="8"/>
              <w:tabs>
                <w:tab w:val="clear" w:pos="4677"/>
                <w:tab w:val="clear" w:pos="9355"/>
              </w:tabs>
              <w:rPr>
                <w:bCs/>
                <w:iCs/>
                <w:sz w:val="22"/>
                <w:szCs w:val="22"/>
                <w:lang w:val="uk-UA"/>
              </w:rPr>
            </w:pPr>
            <w:r>
              <w:rPr>
                <w:bCs/>
                <w:i/>
                <w:sz w:val="22"/>
                <w:szCs w:val="22"/>
                <w:lang w:val="uk-UA"/>
              </w:rPr>
              <w:t xml:space="preserve">Організаційна структура платіжної системи. </w:t>
            </w:r>
            <w:r>
              <w:rPr>
                <w:bCs/>
                <w:iCs/>
                <w:sz w:val="22"/>
                <w:szCs w:val="22"/>
                <w:lang w:val="uk-UA"/>
              </w:rPr>
              <w:t>Платіжна організація. Розрахунковий банк. Оператори послуг платіжної інфраструктури. Учасники платіжної системи.</w:t>
            </w:r>
          </w:p>
          <w:p>
            <w:pPr>
              <w:pStyle w:val="8"/>
              <w:tabs>
                <w:tab w:val="clear" w:pos="4677"/>
                <w:tab w:val="clear" w:pos="9355"/>
              </w:tabs>
              <w:rPr>
                <w:bCs/>
                <w:iCs/>
                <w:sz w:val="22"/>
                <w:szCs w:val="22"/>
                <w:lang w:val="uk-UA"/>
              </w:rPr>
            </w:pPr>
            <w:r>
              <w:rPr>
                <w:bCs/>
                <w:i/>
                <w:sz w:val="22"/>
                <w:szCs w:val="22"/>
                <w:lang w:val="uk-UA"/>
              </w:rPr>
              <w:t xml:space="preserve">Види платіжних систем. </w:t>
            </w:r>
            <w:r>
              <w:rPr>
                <w:bCs/>
                <w:iCs/>
                <w:sz w:val="22"/>
                <w:szCs w:val="22"/>
                <w:lang w:val="uk-UA"/>
              </w:rPr>
              <w:t>За територією поширення, суб’єктним складом, призначенням, об’єктами переказу, інструментами платежу, режимом розрахунків, термінами і масштабами розрахунків, механізмом організації розрахунків, категоріями важливості.</w:t>
            </w:r>
          </w:p>
          <w:p>
            <w:pPr>
              <w:pStyle w:val="11"/>
              <w:jc w:val="left"/>
              <w:rPr>
                <w:b w:val="0"/>
                <w:sz w:val="22"/>
              </w:rPr>
            </w:pPr>
          </w:p>
        </w:tc>
        <w:tc>
          <w:tcPr>
            <w:tcW w:w="2213"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Лекція</w:t>
            </w:r>
            <w:bookmarkStart w:id="0" w:name="_gjdgxs" w:colFirst="0" w:colLast="0"/>
            <w:bookmarkEnd w:id="0"/>
          </w:p>
        </w:tc>
        <w:tc>
          <w:tcPr>
            <w:tcW w:w="1718"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1; 2; 5-12; 17</w:t>
            </w:r>
          </w:p>
        </w:tc>
        <w:tc>
          <w:tcPr>
            <w:tcW w:w="2853"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Опрацювати відповідні розділи рекомендованої літератури, підготувати презентацію/доповідь (за вибором студента), аналітичний огляд наукових публікацій, тези до теми. 10 год.</w:t>
            </w:r>
          </w:p>
        </w:tc>
        <w:tc>
          <w:tcPr>
            <w:tcW w:w="1504" w:type="dxa"/>
            <w:vMerge w:val="restart"/>
            <w:tcBorders>
              <w:top w:val="single" w:color="auto" w:sz="4" w:space="0"/>
              <w:left w:val="single" w:color="auto" w:sz="4" w:space="0"/>
              <w:right w:val="single" w:color="auto" w:sz="4" w:space="0"/>
            </w:tcBorders>
            <w:vAlign w:val="center"/>
          </w:tcPr>
          <w:p>
            <w:pPr>
              <w:spacing w:after="160"/>
              <w:jc w:val="center"/>
              <w:rPr>
                <w:rFonts w:ascii="Times New Roman" w:hAnsi="Times New Roman" w:cs="Times New Roman"/>
                <w:color w:val="000000"/>
                <w:lang w:val="uk-UA"/>
              </w:rPr>
            </w:pPr>
            <w:r>
              <w:rPr>
                <w:rFonts w:ascii="Times New Roman" w:hAnsi="Times New Roman" w:cs="Times New Roman"/>
                <w:color w:val="000000"/>
                <w:lang w:val="uk-UA"/>
              </w:rPr>
              <w:t>Тиж.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149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bCs/>
                <w:color w:val="000000"/>
                <w:lang w:val="uk-UA"/>
              </w:rPr>
            </w:pPr>
            <w:r>
              <w:rPr>
                <w:rFonts w:ascii="Times New Roman" w:hAnsi="Times New Roman" w:cs="Times New Roman"/>
                <w:b/>
                <w:bCs/>
                <w:color w:val="000000"/>
                <w:lang w:val="uk-UA"/>
              </w:rPr>
              <w:t xml:space="preserve">Тиж. 2 / </w:t>
            </w:r>
          </w:p>
          <w:p>
            <w:pPr>
              <w:spacing w:line="240" w:lineRule="auto"/>
              <w:jc w:val="center"/>
              <w:rPr>
                <w:rFonts w:ascii="Times New Roman" w:hAnsi="Times New Roman" w:cs="Times New Roman"/>
                <w:color w:val="000000"/>
                <w:lang w:val="uk-UA"/>
              </w:rPr>
            </w:pPr>
            <w:r>
              <w:rPr>
                <w:rFonts w:ascii="Times New Roman" w:hAnsi="Times New Roman" w:cs="Times New Roman"/>
                <w:b/>
                <w:bCs/>
                <w:color w:val="000000"/>
                <w:lang w:val="uk-UA"/>
              </w:rPr>
              <w:t>2 год</w:t>
            </w:r>
          </w:p>
        </w:tc>
        <w:tc>
          <w:tcPr>
            <w:tcW w:w="5117" w:type="dxa"/>
            <w:vMerge w:val="continue"/>
            <w:vAlign w:val="center"/>
          </w:tcPr>
          <w:p>
            <w:pPr>
              <w:spacing w:after="160" w:line="240" w:lineRule="auto"/>
              <w:jc w:val="center"/>
              <w:rPr>
                <w:rFonts w:ascii="Times New Roman" w:hAnsi="Times New Roman" w:cs="Times New Roman"/>
                <w:color w:val="000000"/>
                <w:lang w:val="uk-UA"/>
              </w:rPr>
            </w:pPr>
          </w:p>
        </w:tc>
        <w:tc>
          <w:tcPr>
            <w:tcW w:w="2213" w:type="dxa"/>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Практичне заняття: самостійна робота, дискусія, групова робота</w:t>
            </w:r>
          </w:p>
        </w:tc>
        <w:tc>
          <w:tcPr>
            <w:tcW w:w="1718" w:type="dxa"/>
            <w:vMerge w:val="continue"/>
            <w:tcBorders>
              <w:left w:val="single" w:color="auto" w:sz="4" w:space="0"/>
              <w:bottom w:val="single" w:color="auto" w:sz="4" w:space="0"/>
              <w:right w:val="single" w:color="auto" w:sz="4" w:space="0"/>
            </w:tcBorders>
          </w:tcPr>
          <w:p>
            <w:pPr>
              <w:spacing w:after="160" w:line="240" w:lineRule="auto"/>
              <w:jc w:val="center"/>
              <w:rPr>
                <w:rFonts w:ascii="Times New Roman" w:hAnsi="Times New Roman" w:cs="Times New Roman"/>
                <w:color w:val="000000"/>
                <w:lang w:val="uk-UA"/>
              </w:rPr>
            </w:pPr>
          </w:p>
        </w:tc>
        <w:tc>
          <w:tcPr>
            <w:tcW w:w="2853"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color w:val="000000"/>
                <w:lang w:val="uk-UA"/>
              </w:rPr>
            </w:pPr>
          </w:p>
        </w:tc>
        <w:tc>
          <w:tcPr>
            <w:tcW w:w="1504"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color w:val="000000"/>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3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color w:val="000000"/>
                <w:lang w:val="uk-UA"/>
              </w:rPr>
            </w:pPr>
            <w:r>
              <w:rPr>
                <w:rFonts w:ascii="Times New Roman" w:hAnsi="Times New Roman" w:cs="Times New Roman"/>
                <w:b/>
                <w:bCs/>
                <w:color w:val="000000"/>
                <w:lang w:val="uk-UA"/>
              </w:rPr>
              <w:t>2 год</w:t>
            </w:r>
          </w:p>
        </w:tc>
        <w:tc>
          <w:tcPr>
            <w:tcW w:w="5117" w:type="dxa"/>
            <w:vMerge w:val="restart"/>
            <w:tcBorders>
              <w:top w:val="single" w:color="auto" w:sz="4" w:space="0"/>
              <w:left w:val="single" w:color="auto" w:sz="4" w:space="0"/>
              <w:right w:val="single" w:color="auto" w:sz="4" w:space="0"/>
            </w:tcBorders>
          </w:tcPr>
          <w:p>
            <w:pPr>
              <w:pStyle w:val="11"/>
              <w:jc w:val="left"/>
              <w:rPr>
                <w:iCs/>
                <w:sz w:val="22"/>
              </w:rPr>
            </w:pPr>
            <w:r>
              <w:rPr>
                <w:iCs/>
                <w:sz w:val="22"/>
              </w:rPr>
              <w:t>Тема 2. Учасники платіжних систем</w:t>
            </w:r>
          </w:p>
          <w:p>
            <w:pPr>
              <w:pStyle w:val="11"/>
              <w:jc w:val="left"/>
              <w:rPr>
                <w:b w:val="0"/>
                <w:bCs w:val="0"/>
                <w:iCs/>
                <w:sz w:val="22"/>
              </w:rPr>
            </w:pPr>
            <w:r>
              <w:rPr>
                <w:b w:val="0"/>
                <w:bCs w:val="0"/>
                <w:i/>
                <w:sz w:val="22"/>
              </w:rPr>
              <w:t xml:space="preserve">Центральний банк та його функції у платіжній системі. </w:t>
            </w:r>
            <w:r>
              <w:rPr>
                <w:b w:val="0"/>
                <w:bCs w:val="0"/>
                <w:iCs/>
                <w:sz w:val="22"/>
              </w:rPr>
              <w:t>ЦБ як учасник платіжної системи. ЦБ як надавач платіжних послуг. ЦБ як агент з розрахунків. ЦБ як користувач платіжної системи. ЦБ як охоронець суспільних інтересів. ЦБ як гарант остаточних розрахунків. Оверсайт. ЦБ як регулятор у платіжній сфері.</w:t>
            </w:r>
          </w:p>
          <w:p>
            <w:pPr>
              <w:pStyle w:val="11"/>
              <w:jc w:val="left"/>
              <w:rPr>
                <w:b w:val="0"/>
                <w:bCs w:val="0"/>
                <w:iCs/>
                <w:sz w:val="22"/>
              </w:rPr>
            </w:pPr>
            <w:r>
              <w:rPr>
                <w:b w:val="0"/>
                <w:bCs w:val="0"/>
                <w:i/>
                <w:sz w:val="22"/>
              </w:rPr>
              <w:t xml:space="preserve">Роль комерційних банків у діяльності платіжної системи. </w:t>
            </w:r>
            <w:r>
              <w:rPr>
                <w:b w:val="0"/>
                <w:bCs w:val="0"/>
                <w:iCs/>
                <w:sz w:val="22"/>
              </w:rPr>
              <w:t>Банк платника. Банк одержувача. Банк-емітент. Банк-еквайр.</w:t>
            </w:r>
          </w:p>
          <w:p>
            <w:pPr>
              <w:pStyle w:val="11"/>
              <w:jc w:val="left"/>
              <w:rPr>
                <w:b w:val="0"/>
                <w:bCs w:val="0"/>
                <w:iCs/>
                <w:sz w:val="22"/>
              </w:rPr>
            </w:pPr>
            <w:r>
              <w:rPr>
                <w:b w:val="0"/>
                <w:bCs w:val="0"/>
                <w:i/>
                <w:sz w:val="22"/>
              </w:rPr>
              <w:t xml:space="preserve">Небанківські надавачі платіжних послуг. </w:t>
            </w:r>
            <w:r>
              <w:rPr>
                <w:b w:val="0"/>
                <w:bCs w:val="0"/>
                <w:iCs/>
                <w:sz w:val="22"/>
              </w:rPr>
              <w:t>Оператори послуг платіжної інфраструктури.</w:t>
            </w:r>
          </w:p>
        </w:tc>
        <w:tc>
          <w:tcPr>
            <w:tcW w:w="2213"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Лекція</w:t>
            </w:r>
          </w:p>
        </w:tc>
        <w:tc>
          <w:tcPr>
            <w:tcW w:w="1718"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1-3; 7; 8; 17</w:t>
            </w:r>
          </w:p>
        </w:tc>
        <w:tc>
          <w:tcPr>
            <w:tcW w:w="2853"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lang w:val="uk-UA"/>
              </w:rPr>
            </w:pPr>
            <w:r>
              <w:rPr>
                <w:rFonts w:ascii="Times New Roman" w:hAnsi="Times New Roman" w:cs="Times New Roman"/>
                <w:color w:val="000000"/>
                <w:lang w:val="uk-UA"/>
              </w:rPr>
              <w:t>Опрацювати відповідні розділи рекомендованої літератури, підготувати презентацію/доповідь (за вибором студента), аналітичний огляд наукових публікацій, тези до теми. 5 год.</w:t>
            </w:r>
          </w:p>
        </w:tc>
        <w:tc>
          <w:tcPr>
            <w:tcW w:w="1504" w:type="dxa"/>
            <w:vMerge w:val="restart"/>
            <w:tcBorders>
              <w:top w:val="single" w:color="auto" w:sz="4" w:space="0"/>
              <w:left w:val="single" w:color="auto" w:sz="4" w:space="0"/>
              <w:right w:val="single" w:color="auto" w:sz="4" w:space="0"/>
            </w:tcBorders>
            <w:vAlign w:val="center"/>
          </w:tcPr>
          <w:p>
            <w:pPr>
              <w:spacing w:after="160"/>
              <w:jc w:val="center"/>
              <w:rPr>
                <w:rFonts w:ascii="Times New Roman" w:hAnsi="Times New Roman" w:cs="Times New Roman"/>
                <w:i/>
                <w:color w:val="000000"/>
                <w:lang w:val="uk-UA"/>
              </w:rPr>
            </w:pPr>
            <w:r>
              <w:rPr>
                <w:rFonts w:ascii="Times New Roman" w:hAnsi="Times New Roman" w:cs="Times New Roman"/>
                <w:color w:val="000000"/>
                <w:lang w:val="uk-UA"/>
              </w:rPr>
              <w:t>Тиж.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4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b/>
                <w:color w:val="000000"/>
                <w:lang w:val="uk-UA"/>
              </w:rPr>
            </w:pPr>
            <w:r>
              <w:rPr>
                <w:rFonts w:ascii="Times New Roman" w:hAnsi="Times New Roman" w:cs="Times New Roman"/>
                <w:b/>
                <w:bCs/>
                <w:color w:val="000000"/>
                <w:lang w:val="uk-UA"/>
              </w:rPr>
              <w:t>2 год</w:t>
            </w:r>
          </w:p>
        </w:tc>
        <w:tc>
          <w:tcPr>
            <w:tcW w:w="5117" w:type="dxa"/>
            <w:vMerge w:val="continue"/>
            <w:tcBorders>
              <w:left w:val="single" w:color="auto" w:sz="4" w:space="0"/>
              <w:bottom w:val="single" w:color="auto" w:sz="4" w:space="0"/>
              <w:right w:val="single" w:color="auto" w:sz="4" w:space="0"/>
            </w:tcBorders>
          </w:tcPr>
          <w:p>
            <w:pPr>
              <w:spacing w:after="160" w:line="240" w:lineRule="auto"/>
              <w:jc w:val="center"/>
              <w:rPr>
                <w:rFonts w:ascii="Times New Roman" w:hAnsi="Times New Roman" w:cs="Times New Roman"/>
                <w:b/>
                <w:color w:val="000000"/>
                <w:lang w:val="uk-UA"/>
              </w:rPr>
            </w:pPr>
          </w:p>
        </w:tc>
        <w:tc>
          <w:tcPr>
            <w:tcW w:w="2213" w:type="dxa"/>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Практичне заняття:</w:t>
            </w:r>
          </w:p>
          <w:p>
            <w:pPr>
              <w:spacing w:line="240" w:lineRule="auto"/>
              <w:jc w:val="center"/>
              <w:rPr>
                <w:rFonts w:ascii="Times New Roman" w:hAnsi="Times New Roman" w:cs="Times New Roman"/>
                <w:b/>
                <w:color w:val="000000"/>
                <w:lang w:val="uk-UA"/>
              </w:rPr>
            </w:pPr>
            <w:r>
              <w:rPr>
                <w:rFonts w:ascii="Times New Roman" w:hAnsi="Times New Roman" w:cs="Times New Roman"/>
                <w:color w:val="000000"/>
                <w:lang w:val="uk-UA"/>
              </w:rPr>
              <w:t>самостійна робота, дискусія, групова робота</w:t>
            </w:r>
          </w:p>
        </w:tc>
        <w:tc>
          <w:tcPr>
            <w:tcW w:w="1718"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2853"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1504"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5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color w:val="000000"/>
                <w:lang w:val="uk-UA"/>
              </w:rPr>
            </w:pPr>
            <w:r>
              <w:rPr>
                <w:rFonts w:ascii="Times New Roman" w:hAnsi="Times New Roman" w:cs="Times New Roman"/>
                <w:b/>
                <w:bCs/>
                <w:color w:val="000000"/>
                <w:lang w:val="uk-UA"/>
              </w:rPr>
              <w:t>2 год</w:t>
            </w:r>
          </w:p>
          <w:p>
            <w:pPr>
              <w:spacing w:after="160" w:line="240" w:lineRule="auto"/>
              <w:jc w:val="center"/>
              <w:rPr>
                <w:rFonts w:ascii="Times New Roman" w:hAnsi="Times New Roman" w:cs="Times New Roman"/>
                <w:b/>
                <w:color w:val="000000"/>
                <w:lang w:val="uk-UA"/>
              </w:rPr>
            </w:pPr>
          </w:p>
        </w:tc>
        <w:tc>
          <w:tcPr>
            <w:tcW w:w="5117" w:type="dxa"/>
            <w:vMerge w:val="restart"/>
            <w:tcBorders>
              <w:top w:val="single" w:color="auto" w:sz="4" w:space="0"/>
              <w:left w:val="single" w:color="auto" w:sz="4" w:space="0"/>
              <w:right w:val="single" w:color="auto" w:sz="4" w:space="0"/>
            </w:tcBorders>
          </w:tcPr>
          <w:p>
            <w:pPr>
              <w:pStyle w:val="11"/>
              <w:jc w:val="left"/>
              <w:rPr>
                <w:iCs/>
                <w:sz w:val="22"/>
              </w:rPr>
            </w:pPr>
            <w:r>
              <w:rPr>
                <w:iCs/>
                <w:sz w:val="22"/>
              </w:rPr>
              <w:t>Тема 3. Платіжні інструменти і технології</w:t>
            </w:r>
          </w:p>
          <w:p>
            <w:pPr>
              <w:pStyle w:val="11"/>
              <w:jc w:val="left"/>
              <w:rPr>
                <w:b w:val="0"/>
                <w:bCs w:val="0"/>
                <w:i/>
                <w:sz w:val="22"/>
              </w:rPr>
            </w:pPr>
            <w:r>
              <w:rPr>
                <w:b w:val="0"/>
                <w:bCs w:val="0"/>
                <w:i/>
                <w:sz w:val="22"/>
              </w:rPr>
              <w:t>Поняття та принципи організації платіжної операції. Платіжний інструмент як елемент платіжної операції.</w:t>
            </w:r>
          </w:p>
          <w:p>
            <w:pPr>
              <w:pStyle w:val="11"/>
              <w:jc w:val="left"/>
              <w:rPr>
                <w:b w:val="0"/>
                <w:bCs w:val="0"/>
                <w:iCs/>
                <w:sz w:val="22"/>
              </w:rPr>
            </w:pPr>
            <w:r>
              <w:rPr>
                <w:b w:val="0"/>
                <w:bCs w:val="0"/>
                <w:i/>
                <w:sz w:val="22"/>
              </w:rPr>
              <w:t xml:space="preserve">Міжнародна класифікація платіжних інструментів. </w:t>
            </w:r>
            <w:r>
              <w:rPr>
                <w:b w:val="0"/>
                <w:bCs w:val="0"/>
                <w:iCs/>
                <w:sz w:val="22"/>
              </w:rPr>
              <w:t xml:space="preserve">Види переказів. Доручення про перекази в системі </w:t>
            </w:r>
            <w:r>
              <w:rPr>
                <w:b w:val="0"/>
                <w:bCs w:val="0"/>
                <w:iCs/>
                <w:sz w:val="22"/>
                <w:lang w:val="en-US"/>
              </w:rPr>
              <w:t>SWIFT</w:t>
            </w:r>
            <w:r>
              <w:rPr>
                <w:b w:val="0"/>
                <w:bCs w:val="0"/>
                <w:iCs/>
                <w:sz w:val="22"/>
              </w:rPr>
              <w:t xml:space="preserve">. Постійні доручення. </w:t>
            </w:r>
            <w:r>
              <w:rPr>
                <w:b w:val="0"/>
                <w:bCs w:val="0"/>
                <w:iCs/>
                <w:sz w:val="22"/>
                <w:lang w:val="en-US"/>
              </w:rPr>
              <w:t>QR</w:t>
            </w:r>
            <w:r>
              <w:rPr>
                <w:b w:val="0"/>
                <w:bCs w:val="0"/>
                <w:iCs/>
                <w:sz w:val="22"/>
              </w:rPr>
              <w:t>-коди для проведення кредитових переказів. Поштові перекази. Прямий дебет.</w:t>
            </w:r>
          </w:p>
          <w:p>
            <w:pPr>
              <w:pStyle w:val="11"/>
              <w:jc w:val="left"/>
              <w:rPr>
                <w:b w:val="0"/>
                <w:bCs w:val="0"/>
                <w:iCs/>
                <w:sz w:val="22"/>
              </w:rPr>
            </w:pPr>
            <w:r>
              <w:rPr>
                <w:b w:val="0"/>
                <w:bCs w:val="0"/>
                <w:i/>
                <w:sz w:val="22"/>
              </w:rPr>
              <w:t xml:space="preserve">Вітчизняна класифікація платіжних інструментів. </w:t>
            </w:r>
            <w:r>
              <w:rPr>
                <w:b w:val="0"/>
                <w:bCs w:val="0"/>
                <w:iCs/>
                <w:sz w:val="22"/>
              </w:rPr>
              <w:t>Документи на переказ. Електронні платіжні засоби. Електронні гроші.</w:t>
            </w:r>
          </w:p>
          <w:p>
            <w:pPr>
              <w:pStyle w:val="11"/>
              <w:jc w:val="left"/>
              <w:rPr>
                <w:b w:val="0"/>
                <w:bCs w:val="0"/>
                <w:iCs/>
                <w:sz w:val="22"/>
              </w:rPr>
            </w:pPr>
            <w:r>
              <w:rPr>
                <w:b w:val="0"/>
                <w:bCs w:val="0"/>
                <w:i/>
                <w:sz w:val="22"/>
              </w:rPr>
              <w:t xml:space="preserve">Платіжні технології. </w:t>
            </w:r>
            <w:r>
              <w:rPr>
                <w:b w:val="0"/>
                <w:bCs w:val="0"/>
                <w:iCs/>
                <w:sz w:val="22"/>
              </w:rPr>
              <w:t>Штучний інтелект та машинне навчання. Блокчейн. Біометричні технології. Хмарні технології. Інтернет речей. Відкритий банкінг. Миттєві платежі. Цифрові валюти центральних банків</w:t>
            </w:r>
          </w:p>
        </w:tc>
        <w:tc>
          <w:tcPr>
            <w:tcW w:w="2213"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Лекція</w:t>
            </w:r>
          </w:p>
        </w:tc>
        <w:tc>
          <w:tcPr>
            <w:tcW w:w="1718"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1; 4; 10-12; 16; 17</w:t>
            </w:r>
          </w:p>
        </w:tc>
        <w:tc>
          <w:tcPr>
            <w:tcW w:w="2853"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Опрацювати відповідні розділи рекомендованої літератури, підготувати презентацію/доповідь (за вибором студента), аналітичний огляд наукових публікацій, тези до теми. 30 год.</w:t>
            </w:r>
          </w:p>
        </w:tc>
        <w:tc>
          <w:tcPr>
            <w:tcW w:w="1504" w:type="dxa"/>
            <w:vMerge w:val="restart"/>
            <w:tcBorders>
              <w:top w:val="single" w:color="auto" w:sz="4" w:space="0"/>
              <w:left w:val="single" w:color="auto" w:sz="4" w:space="0"/>
              <w:right w:val="single" w:color="auto" w:sz="4" w:space="0"/>
            </w:tcBorders>
            <w:vAlign w:val="center"/>
          </w:tcPr>
          <w:p>
            <w:pPr>
              <w:spacing w:after="160"/>
              <w:jc w:val="center"/>
              <w:rPr>
                <w:rFonts w:ascii="Times New Roman" w:hAnsi="Times New Roman" w:cs="Times New Roman"/>
                <w:iCs/>
                <w:color w:val="000000"/>
                <w:lang w:val="uk-UA"/>
              </w:rPr>
            </w:pPr>
            <w:r>
              <w:rPr>
                <w:rFonts w:ascii="Times New Roman" w:hAnsi="Times New Roman" w:cs="Times New Roman"/>
                <w:iCs/>
                <w:color w:val="000000"/>
                <w:lang w:val="uk-UA"/>
              </w:rPr>
              <w:t>Тиж.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6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color w:val="000000"/>
                <w:lang w:val="uk-UA"/>
              </w:rPr>
            </w:pPr>
            <w:r>
              <w:rPr>
                <w:rFonts w:ascii="Times New Roman" w:hAnsi="Times New Roman" w:cs="Times New Roman"/>
                <w:b/>
                <w:bCs/>
                <w:color w:val="000000"/>
                <w:lang w:val="uk-UA"/>
              </w:rPr>
              <w:t>2 год</w:t>
            </w:r>
          </w:p>
          <w:p>
            <w:pPr>
              <w:spacing w:after="160" w:line="240" w:lineRule="auto"/>
              <w:jc w:val="center"/>
              <w:rPr>
                <w:rFonts w:ascii="Times New Roman" w:hAnsi="Times New Roman" w:cs="Times New Roman"/>
                <w:b/>
                <w:color w:val="000000"/>
                <w:lang w:val="uk-UA"/>
              </w:rPr>
            </w:pPr>
          </w:p>
        </w:tc>
        <w:tc>
          <w:tcPr>
            <w:tcW w:w="5117" w:type="dxa"/>
            <w:vMerge w:val="continue"/>
            <w:tcBorders>
              <w:left w:val="single" w:color="auto" w:sz="4" w:space="0"/>
              <w:bottom w:val="single" w:color="auto" w:sz="4" w:space="0"/>
              <w:right w:val="single" w:color="auto" w:sz="4" w:space="0"/>
            </w:tcBorders>
          </w:tcPr>
          <w:p>
            <w:pPr>
              <w:spacing w:after="160" w:line="240" w:lineRule="auto"/>
              <w:jc w:val="center"/>
              <w:rPr>
                <w:rFonts w:ascii="Times New Roman" w:hAnsi="Times New Roman" w:cs="Times New Roman"/>
                <w:b/>
                <w:color w:val="000000"/>
                <w:lang w:val="uk-UA"/>
              </w:rPr>
            </w:pPr>
          </w:p>
        </w:tc>
        <w:tc>
          <w:tcPr>
            <w:tcW w:w="2213" w:type="dxa"/>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Практичне заняття:</w:t>
            </w:r>
          </w:p>
          <w:p>
            <w:pPr>
              <w:spacing w:line="240" w:lineRule="auto"/>
              <w:jc w:val="center"/>
              <w:rPr>
                <w:rFonts w:ascii="Times New Roman" w:hAnsi="Times New Roman" w:cs="Times New Roman"/>
                <w:b/>
                <w:color w:val="000000"/>
                <w:lang w:val="uk-UA"/>
              </w:rPr>
            </w:pPr>
            <w:r>
              <w:rPr>
                <w:rFonts w:ascii="Times New Roman" w:hAnsi="Times New Roman" w:cs="Times New Roman"/>
                <w:color w:val="000000"/>
                <w:lang w:val="uk-UA"/>
              </w:rPr>
              <w:t>самостійна робота, дискусія, групова робота</w:t>
            </w:r>
          </w:p>
        </w:tc>
        <w:tc>
          <w:tcPr>
            <w:tcW w:w="1718"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2853"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1504"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7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color w:val="000000"/>
                <w:lang w:val="uk-UA"/>
              </w:rPr>
            </w:pPr>
            <w:r>
              <w:rPr>
                <w:rFonts w:ascii="Times New Roman" w:hAnsi="Times New Roman" w:cs="Times New Roman"/>
                <w:b/>
                <w:bCs/>
                <w:color w:val="000000"/>
                <w:lang w:val="uk-UA"/>
              </w:rPr>
              <w:t>2 год</w:t>
            </w:r>
          </w:p>
        </w:tc>
        <w:tc>
          <w:tcPr>
            <w:tcW w:w="5117" w:type="dxa"/>
            <w:vMerge w:val="restart"/>
            <w:tcBorders>
              <w:top w:val="single" w:color="auto" w:sz="4" w:space="0"/>
              <w:left w:val="single" w:color="auto" w:sz="4" w:space="0"/>
              <w:right w:val="single" w:color="auto" w:sz="4" w:space="0"/>
            </w:tcBorders>
          </w:tcPr>
          <w:p>
            <w:pPr>
              <w:pStyle w:val="11"/>
              <w:jc w:val="left"/>
              <w:rPr>
                <w:iCs/>
                <w:sz w:val="22"/>
              </w:rPr>
            </w:pPr>
            <w:r>
              <w:rPr>
                <w:iCs/>
                <w:sz w:val="22"/>
              </w:rPr>
              <w:t>Тема 4. Системи дистанційного банківського обслуговування</w:t>
            </w:r>
          </w:p>
          <w:p>
            <w:pPr>
              <w:pStyle w:val="11"/>
              <w:jc w:val="left"/>
              <w:rPr>
                <w:b w:val="0"/>
                <w:bCs w:val="0"/>
                <w:iCs/>
                <w:sz w:val="22"/>
              </w:rPr>
            </w:pPr>
            <w:r>
              <w:rPr>
                <w:b w:val="0"/>
                <w:bCs w:val="0"/>
                <w:i/>
                <w:sz w:val="22"/>
              </w:rPr>
              <w:t xml:space="preserve">Поняття та різновиди систем ДБО. </w:t>
            </w:r>
            <w:r>
              <w:rPr>
                <w:b w:val="0"/>
                <w:bCs w:val="0"/>
                <w:iCs/>
                <w:sz w:val="22"/>
              </w:rPr>
              <w:t>Класифікація технологій ДБО. Традиційний банкінг. Віртуальний банкінг.</w:t>
            </w:r>
          </w:p>
          <w:p>
            <w:pPr>
              <w:pStyle w:val="11"/>
              <w:jc w:val="left"/>
              <w:rPr>
                <w:b w:val="0"/>
                <w:bCs w:val="0"/>
                <w:i/>
                <w:sz w:val="22"/>
              </w:rPr>
            </w:pPr>
            <w:r>
              <w:rPr>
                <w:b w:val="0"/>
                <w:bCs w:val="0"/>
                <w:i/>
                <w:sz w:val="22"/>
              </w:rPr>
              <w:t xml:space="preserve">Телефонний банкінг. </w:t>
            </w:r>
            <w:r>
              <w:rPr>
                <w:b w:val="0"/>
                <w:bCs w:val="0"/>
                <w:iCs/>
                <w:sz w:val="22"/>
              </w:rPr>
              <w:t>Послуги контакт-центру банку.</w:t>
            </w:r>
          </w:p>
          <w:p>
            <w:pPr>
              <w:pStyle w:val="11"/>
              <w:jc w:val="left"/>
              <w:rPr>
                <w:b w:val="0"/>
                <w:bCs w:val="0"/>
                <w:iCs/>
                <w:sz w:val="22"/>
              </w:rPr>
            </w:pPr>
            <w:r>
              <w:rPr>
                <w:b w:val="0"/>
                <w:bCs w:val="0"/>
                <w:i/>
                <w:sz w:val="22"/>
              </w:rPr>
              <w:t xml:space="preserve">Система “клієнт-банк”. </w:t>
            </w:r>
            <w:r>
              <w:rPr>
                <w:b w:val="0"/>
                <w:bCs w:val="0"/>
                <w:iCs/>
                <w:sz w:val="22"/>
              </w:rPr>
              <w:t>послуги та сервісні функції системи. Клієнтська частина системи. Банківська частина системи.</w:t>
            </w:r>
          </w:p>
          <w:p>
            <w:pPr>
              <w:pStyle w:val="11"/>
              <w:jc w:val="left"/>
              <w:rPr>
                <w:b w:val="0"/>
                <w:bCs w:val="0"/>
                <w:i/>
                <w:sz w:val="22"/>
              </w:rPr>
            </w:pPr>
            <w:r>
              <w:rPr>
                <w:b w:val="0"/>
                <w:bCs w:val="0"/>
                <w:i/>
                <w:sz w:val="22"/>
              </w:rPr>
              <w:t>Інтернет банкінг.</w:t>
            </w:r>
          </w:p>
          <w:p>
            <w:pPr>
              <w:pStyle w:val="11"/>
              <w:jc w:val="left"/>
              <w:rPr>
                <w:b w:val="0"/>
                <w:bCs w:val="0"/>
                <w:i/>
                <w:sz w:val="22"/>
              </w:rPr>
            </w:pPr>
            <w:r>
              <w:rPr>
                <w:b w:val="0"/>
                <w:bCs w:val="0"/>
                <w:i/>
                <w:sz w:val="22"/>
              </w:rPr>
              <w:t xml:space="preserve">Мобільний банкінг. </w:t>
            </w:r>
            <w:r>
              <w:rPr>
                <w:b w:val="0"/>
                <w:bCs w:val="0"/>
                <w:iCs/>
                <w:sz w:val="22"/>
              </w:rPr>
              <w:t>Різновиди мобільного банкінгу. Мобільні додатки.</w:t>
            </w:r>
          </w:p>
        </w:tc>
        <w:tc>
          <w:tcPr>
            <w:tcW w:w="2213"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Лекція</w:t>
            </w:r>
          </w:p>
        </w:tc>
        <w:tc>
          <w:tcPr>
            <w:tcW w:w="1718"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9; 10; 17</w:t>
            </w:r>
          </w:p>
        </w:tc>
        <w:tc>
          <w:tcPr>
            <w:tcW w:w="2853"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Опрацювати відповідні розділи рекомендованої літератури, підготувати презентацію/доповідь (за вибором студента), аналітичний огляд наукових публікацій, тези до теми. 5 год.</w:t>
            </w:r>
          </w:p>
        </w:tc>
        <w:tc>
          <w:tcPr>
            <w:tcW w:w="1504" w:type="dxa"/>
            <w:vMerge w:val="restart"/>
            <w:tcBorders>
              <w:top w:val="single" w:color="auto" w:sz="4" w:space="0"/>
              <w:left w:val="single" w:color="auto" w:sz="4" w:space="0"/>
              <w:right w:val="single" w:color="auto" w:sz="4" w:space="0"/>
            </w:tcBorders>
            <w:vAlign w:val="center"/>
          </w:tcPr>
          <w:p>
            <w:pPr>
              <w:spacing w:after="160"/>
              <w:jc w:val="center"/>
              <w:rPr>
                <w:rFonts w:ascii="Times New Roman" w:hAnsi="Times New Roman" w:cs="Times New Roman"/>
                <w:iCs/>
                <w:color w:val="000000"/>
                <w:lang w:val="uk-UA"/>
              </w:rPr>
            </w:pPr>
            <w:r>
              <w:rPr>
                <w:rFonts w:ascii="Times New Roman" w:hAnsi="Times New Roman" w:cs="Times New Roman"/>
                <w:iCs/>
                <w:color w:val="000000"/>
                <w:lang w:val="uk-UA"/>
              </w:rPr>
              <w:t>Тиж.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8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b/>
                <w:color w:val="000000"/>
                <w:lang w:val="uk-UA"/>
              </w:rPr>
            </w:pPr>
            <w:r>
              <w:rPr>
                <w:rFonts w:ascii="Times New Roman" w:hAnsi="Times New Roman" w:cs="Times New Roman"/>
                <w:b/>
                <w:bCs/>
                <w:color w:val="000000"/>
                <w:lang w:val="uk-UA"/>
              </w:rPr>
              <w:t>2 год</w:t>
            </w:r>
          </w:p>
        </w:tc>
        <w:tc>
          <w:tcPr>
            <w:tcW w:w="5117" w:type="dxa"/>
            <w:vMerge w:val="continue"/>
            <w:tcBorders>
              <w:left w:val="single" w:color="auto" w:sz="4" w:space="0"/>
              <w:bottom w:val="single" w:color="auto" w:sz="4" w:space="0"/>
              <w:right w:val="single" w:color="auto" w:sz="4" w:space="0"/>
            </w:tcBorders>
          </w:tcPr>
          <w:p>
            <w:pPr>
              <w:spacing w:after="160" w:line="240" w:lineRule="auto"/>
              <w:jc w:val="center"/>
              <w:rPr>
                <w:rFonts w:ascii="Times New Roman" w:hAnsi="Times New Roman" w:cs="Times New Roman"/>
                <w:b/>
                <w:color w:val="000000"/>
                <w:lang w:val="uk-UA"/>
              </w:rPr>
            </w:pPr>
          </w:p>
        </w:tc>
        <w:tc>
          <w:tcPr>
            <w:tcW w:w="2213" w:type="dxa"/>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Практичне заняття:</w:t>
            </w:r>
          </w:p>
          <w:p>
            <w:pPr>
              <w:spacing w:line="240" w:lineRule="auto"/>
              <w:jc w:val="center"/>
              <w:rPr>
                <w:rFonts w:ascii="Times New Roman" w:hAnsi="Times New Roman" w:cs="Times New Roman"/>
                <w:b/>
                <w:color w:val="000000"/>
                <w:lang w:val="uk-UA"/>
              </w:rPr>
            </w:pPr>
            <w:r>
              <w:rPr>
                <w:rFonts w:ascii="Times New Roman" w:hAnsi="Times New Roman" w:cs="Times New Roman"/>
                <w:color w:val="000000"/>
                <w:lang w:val="uk-UA"/>
              </w:rPr>
              <w:t>самостійна робота, дискусія, групова робота</w:t>
            </w:r>
          </w:p>
        </w:tc>
        <w:tc>
          <w:tcPr>
            <w:tcW w:w="1718"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2853"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1504"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9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color w:val="000000"/>
                <w:lang w:val="uk-UA"/>
              </w:rPr>
            </w:pPr>
            <w:r>
              <w:rPr>
                <w:rFonts w:ascii="Times New Roman" w:hAnsi="Times New Roman" w:cs="Times New Roman"/>
                <w:b/>
                <w:bCs/>
                <w:color w:val="000000"/>
                <w:lang w:val="uk-UA"/>
              </w:rPr>
              <w:t>2 год</w:t>
            </w:r>
          </w:p>
        </w:tc>
        <w:tc>
          <w:tcPr>
            <w:tcW w:w="5117" w:type="dxa"/>
            <w:vMerge w:val="restart"/>
            <w:tcBorders>
              <w:top w:val="single" w:color="auto" w:sz="4" w:space="0"/>
              <w:left w:val="single" w:color="auto" w:sz="4" w:space="0"/>
              <w:right w:val="single" w:color="auto" w:sz="4" w:space="0"/>
            </w:tcBorders>
          </w:tcPr>
          <w:p>
            <w:pPr>
              <w:pStyle w:val="11"/>
              <w:jc w:val="left"/>
              <w:rPr>
                <w:iCs/>
                <w:sz w:val="22"/>
              </w:rPr>
            </w:pPr>
            <w:r>
              <w:rPr>
                <w:iCs/>
                <w:sz w:val="22"/>
              </w:rPr>
              <w:t>Тема 5. Системи міжбанківських розрахунків. СЕП НБУ</w:t>
            </w:r>
          </w:p>
          <w:p>
            <w:pPr>
              <w:pStyle w:val="11"/>
              <w:jc w:val="left"/>
              <w:rPr>
                <w:b w:val="0"/>
                <w:bCs w:val="0"/>
                <w:i/>
                <w:sz w:val="22"/>
              </w:rPr>
            </w:pPr>
            <w:r>
              <w:rPr>
                <w:b w:val="0"/>
                <w:bCs w:val="0"/>
                <w:i/>
                <w:sz w:val="22"/>
              </w:rPr>
              <w:t>Поняття та характеристики міжбанківських розрахунків.</w:t>
            </w:r>
          </w:p>
          <w:p>
            <w:pPr>
              <w:pStyle w:val="11"/>
              <w:jc w:val="left"/>
              <w:rPr>
                <w:b w:val="0"/>
                <w:bCs w:val="0"/>
                <w:i/>
                <w:sz w:val="22"/>
              </w:rPr>
            </w:pPr>
            <w:r>
              <w:rPr>
                <w:b w:val="0"/>
                <w:bCs w:val="0"/>
                <w:i/>
                <w:sz w:val="22"/>
              </w:rPr>
              <w:t>Особливості роботи внутрішньобанківських платіжних систем.</w:t>
            </w:r>
          </w:p>
          <w:p>
            <w:pPr>
              <w:pStyle w:val="11"/>
              <w:jc w:val="left"/>
              <w:rPr>
                <w:b w:val="0"/>
                <w:bCs w:val="0"/>
                <w:i/>
                <w:sz w:val="22"/>
              </w:rPr>
            </w:pPr>
            <w:r>
              <w:rPr>
                <w:b w:val="0"/>
                <w:bCs w:val="0"/>
                <w:i/>
                <w:sz w:val="22"/>
              </w:rPr>
              <w:t>Суть та організаційна структура СЕП НБУ. Учасники СЕП НБУ.</w:t>
            </w:r>
          </w:p>
          <w:p>
            <w:pPr>
              <w:pStyle w:val="11"/>
              <w:jc w:val="left"/>
              <w:rPr>
                <w:b w:val="0"/>
                <w:bCs w:val="0"/>
                <w:i/>
                <w:sz w:val="22"/>
              </w:rPr>
            </w:pPr>
            <w:r>
              <w:rPr>
                <w:b w:val="0"/>
                <w:bCs w:val="0"/>
                <w:i/>
                <w:sz w:val="22"/>
              </w:rPr>
              <w:t>Міжбанківські перекази в СЕП НБУ. Моделі обслуговування консолідованого коррахунку в СЕП НБУ.</w:t>
            </w:r>
          </w:p>
        </w:tc>
        <w:tc>
          <w:tcPr>
            <w:tcW w:w="2213"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Лекція</w:t>
            </w:r>
          </w:p>
        </w:tc>
        <w:tc>
          <w:tcPr>
            <w:tcW w:w="1718"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1; 3; 9; 13; 17</w:t>
            </w:r>
          </w:p>
        </w:tc>
        <w:tc>
          <w:tcPr>
            <w:tcW w:w="2853"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Опрацювати відповідні розділи рекомендованої літератури, підготувати презентацію/доповідь (за вибором студента), аналітичний огляд наукових публікацій, тези до теми. 10 год.</w:t>
            </w:r>
          </w:p>
        </w:tc>
        <w:tc>
          <w:tcPr>
            <w:tcW w:w="1504" w:type="dxa"/>
            <w:vMerge w:val="restart"/>
            <w:tcBorders>
              <w:top w:val="single" w:color="auto" w:sz="4" w:space="0"/>
              <w:left w:val="single" w:color="auto" w:sz="4" w:space="0"/>
              <w:right w:val="single" w:color="auto" w:sz="4" w:space="0"/>
            </w:tcBorders>
            <w:vAlign w:val="center"/>
          </w:tcPr>
          <w:p>
            <w:pPr>
              <w:spacing w:after="160"/>
              <w:jc w:val="center"/>
              <w:rPr>
                <w:rFonts w:ascii="Times New Roman" w:hAnsi="Times New Roman" w:cs="Times New Roman"/>
                <w:i/>
                <w:color w:val="000000"/>
                <w:lang w:val="uk-UA"/>
              </w:rPr>
            </w:pPr>
            <w:r>
              <w:rPr>
                <w:rFonts w:ascii="Times New Roman" w:hAnsi="Times New Roman" w:cs="Times New Roman"/>
                <w:color w:val="000000"/>
                <w:lang w:val="uk-UA"/>
              </w:rPr>
              <w:t>Тиж.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10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b/>
                <w:color w:val="000000"/>
                <w:lang w:val="uk-UA"/>
              </w:rPr>
            </w:pPr>
            <w:r>
              <w:rPr>
                <w:rFonts w:ascii="Times New Roman" w:hAnsi="Times New Roman" w:cs="Times New Roman"/>
                <w:b/>
                <w:bCs/>
                <w:color w:val="000000"/>
                <w:lang w:val="uk-UA"/>
              </w:rPr>
              <w:t>2 год</w:t>
            </w:r>
          </w:p>
        </w:tc>
        <w:tc>
          <w:tcPr>
            <w:tcW w:w="5117" w:type="dxa"/>
            <w:vMerge w:val="continue"/>
            <w:tcBorders>
              <w:left w:val="single" w:color="auto" w:sz="4" w:space="0"/>
              <w:bottom w:val="single" w:color="auto" w:sz="4" w:space="0"/>
              <w:right w:val="single" w:color="auto" w:sz="4" w:space="0"/>
            </w:tcBorders>
          </w:tcPr>
          <w:p>
            <w:pPr>
              <w:spacing w:after="160" w:line="240" w:lineRule="auto"/>
              <w:jc w:val="center"/>
              <w:rPr>
                <w:rFonts w:ascii="Times New Roman" w:hAnsi="Times New Roman" w:cs="Times New Roman"/>
                <w:b/>
                <w:color w:val="000000"/>
                <w:lang w:val="uk-UA"/>
              </w:rPr>
            </w:pPr>
          </w:p>
        </w:tc>
        <w:tc>
          <w:tcPr>
            <w:tcW w:w="2213" w:type="dxa"/>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Практичне заняття:</w:t>
            </w:r>
          </w:p>
          <w:p>
            <w:pPr>
              <w:spacing w:line="240" w:lineRule="auto"/>
              <w:jc w:val="center"/>
              <w:rPr>
                <w:rFonts w:ascii="Times New Roman" w:hAnsi="Times New Roman" w:cs="Times New Roman"/>
                <w:b/>
                <w:color w:val="000000"/>
                <w:lang w:val="uk-UA"/>
              </w:rPr>
            </w:pPr>
            <w:r>
              <w:rPr>
                <w:rFonts w:ascii="Times New Roman" w:hAnsi="Times New Roman" w:cs="Times New Roman"/>
                <w:color w:val="000000"/>
                <w:lang w:val="uk-UA"/>
              </w:rPr>
              <w:t>самостійна робота, дискусія, групова робота</w:t>
            </w:r>
          </w:p>
        </w:tc>
        <w:tc>
          <w:tcPr>
            <w:tcW w:w="1718"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2853"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1504"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11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color w:val="000000"/>
                <w:lang w:val="uk-UA"/>
              </w:rPr>
            </w:pPr>
            <w:r>
              <w:rPr>
                <w:rFonts w:ascii="Times New Roman" w:hAnsi="Times New Roman" w:cs="Times New Roman"/>
                <w:b/>
                <w:bCs/>
                <w:color w:val="000000"/>
                <w:lang w:val="uk-UA"/>
              </w:rPr>
              <w:t>2 год</w:t>
            </w:r>
          </w:p>
        </w:tc>
        <w:tc>
          <w:tcPr>
            <w:tcW w:w="5117" w:type="dxa"/>
            <w:vMerge w:val="restart"/>
            <w:tcBorders>
              <w:top w:val="single" w:color="auto" w:sz="4" w:space="0"/>
              <w:left w:val="single" w:color="auto" w:sz="4" w:space="0"/>
              <w:right w:val="single" w:color="auto" w:sz="4" w:space="0"/>
            </w:tcBorders>
          </w:tcPr>
          <w:p>
            <w:pPr>
              <w:pStyle w:val="11"/>
              <w:jc w:val="left"/>
              <w:rPr>
                <w:iCs/>
                <w:sz w:val="22"/>
              </w:rPr>
            </w:pPr>
            <w:r>
              <w:rPr>
                <w:iCs/>
                <w:sz w:val="22"/>
              </w:rPr>
              <w:t>Тема 6. Системи масових платежів. Національна платіжна система “Український платіжний ПРОСТІР”</w:t>
            </w:r>
          </w:p>
          <w:p>
            <w:pPr>
              <w:pStyle w:val="11"/>
              <w:jc w:val="left"/>
              <w:rPr>
                <w:b w:val="0"/>
                <w:bCs w:val="0"/>
                <w:i/>
                <w:sz w:val="22"/>
              </w:rPr>
            </w:pPr>
            <w:r>
              <w:rPr>
                <w:b w:val="0"/>
                <w:bCs w:val="0"/>
                <w:i/>
                <w:sz w:val="22"/>
              </w:rPr>
              <w:t>Поняття та види систем масових платежів. Учасники систем масових платежів та їхні функції.</w:t>
            </w:r>
          </w:p>
          <w:p>
            <w:pPr>
              <w:pStyle w:val="11"/>
              <w:jc w:val="left"/>
              <w:rPr>
                <w:b w:val="0"/>
                <w:bCs w:val="0"/>
                <w:i/>
                <w:sz w:val="22"/>
              </w:rPr>
            </w:pPr>
            <w:r>
              <w:rPr>
                <w:b w:val="0"/>
                <w:bCs w:val="0"/>
                <w:i/>
                <w:sz w:val="22"/>
              </w:rPr>
              <w:t>Принципи діяльності та організаційна структура НПС “ПРОСТІР”.</w:t>
            </w:r>
          </w:p>
          <w:p>
            <w:pPr>
              <w:pStyle w:val="11"/>
              <w:jc w:val="left"/>
              <w:rPr>
                <w:b w:val="0"/>
                <w:bCs w:val="0"/>
                <w:i/>
                <w:sz w:val="22"/>
              </w:rPr>
            </w:pPr>
            <w:r>
              <w:rPr>
                <w:b w:val="0"/>
                <w:bCs w:val="0"/>
                <w:i/>
                <w:sz w:val="22"/>
              </w:rPr>
              <w:t>Електронні платіжні засоби НПС “ПРОСТІР”.</w:t>
            </w:r>
          </w:p>
        </w:tc>
        <w:tc>
          <w:tcPr>
            <w:tcW w:w="2213"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Лекція</w:t>
            </w:r>
          </w:p>
        </w:tc>
        <w:tc>
          <w:tcPr>
            <w:tcW w:w="1718"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3; 11; 14; 17</w:t>
            </w:r>
          </w:p>
        </w:tc>
        <w:tc>
          <w:tcPr>
            <w:tcW w:w="2853"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Опрацювати відповідні розділи рекомендованої літератури, підготувати презентацію/доповідь (за вибором студента), аналітичний огляд наукових публікацій, тези до теми. 10 год.</w:t>
            </w:r>
          </w:p>
        </w:tc>
        <w:tc>
          <w:tcPr>
            <w:tcW w:w="1504" w:type="dxa"/>
            <w:vMerge w:val="restart"/>
            <w:tcBorders>
              <w:top w:val="single" w:color="auto" w:sz="4" w:space="0"/>
              <w:left w:val="single" w:color="auto" w:sz="4" w:space="0"/>
              <w:right w:val="single" w:color="auto" w:sz="4" w:space="0"/>
            </w:tcBorders>
            <w:vAlign w:val="center"/>
          </w:tcPr>
          <w:p>
            <w:pPr>
              <w:spacing w:after="160"/>
              <w:jc w:val="center"/>
              <w:rPr>
                <w:rFonts w:ascii="Times New Roman" w:hAnsi="Times New Roman" w:cs="Times New Roman"/>
                <w:iCs/>
                <w:color w:val="000000"/>
                <w:lang w:val="uk-UA"/>
              </w:rPr>
            </w:pPr>
            <w:r>
              <w:rPr>
                <w:rFonts w:ascii="Times New Roman" w:hAnsi="Times New Roman" w:cs="Times New Roman"/>
                <w:iCs/>
                <w:color w:val="000000"/>
                <w:lang w:val="uk-UA"/>
              </w:rPr>
              <w:t>Тиж.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12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b/>
                <w:color w:val="000000"/>
                <w:lang w:val="uk-UA"/>
              </w:rPr>
            </w:pPr>
            <w:r>
              <w:rPr>
                <w:rFonts w:ascii="Times New Roman" w:hAnsi="Times New Roman" w:cs="Times New Roman"/>
                <w:b/>
                <w:bCs/>
                <w:color w:val="000000"/>
                <w:lang w:val="uk-UA"/>
              </w:rPr>
              <w:t>2 год</w:t>
            </w:r>
          </w:p>
        </w:tc>
        <w:tc>
          <w:tcPr>
            <w:tcW w:w="5117" w:type="dxa"/>
            <w:vMerge w:val="continue"/>
            <w:tcBorders>
              <w:left w:val="single" w:color="auto" w:sz="4" w:space="0"/>
              <w:bottom w:val="single" w:color="auto" w:sz="4" w:space="0"/>
              <w:right w:val="single" w:color="auto" w:sz="4" w:space="0"/>
            </w:tcBorders>
          </w:tcPr>
          <w:p>
            <w:pPr>
              <w:spacing w:after="160" w:line="240" w:lineRule="auto"/>
              <w:jc w:val="center"/>
              <w:rPr>
                <w:rFonts w:ascii="Times New Roman" w:hAnsi="Times New Roman" w:cs="Times New Roman"/>
                <w:b/>
                <w:color w:val="000000"/>
                <w:lang w:val="uk-UA"/>
              </w:rPr>
            </w:pPr>
          </w:p>
        </w:tc>
        <w:tc>
          <w:tcPr>
            <w:tcW w:w="2213" w:type="dxa"/>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Практичне заняття:</w:t>
            </w:r>
          </w:p>
          <w:p>
            <w:pPr>
              <w:spacing w:line="240" w:lineRule="auto"/>
              <w:jc w:val="center"/>
              <w:rPr>
                <w:rFonts w:ascii="Times New Roman" w:hAnsi="Times New Roman" w:cs="Times New Roman"/>
                <w:b/>
                <w:color w:val="000000"/>
                <w:lang w:val="uk-UA"/>
              </w:rPr>
            </w:pPr>
            <w:r>
              <w:rPr>
                <w:rFonts w:ascii="Times New Roman" w:hAnsi="Times New Roman" w:cs="Times New Roman"/>
                <w:color w:val="000000"/>
                <w:lang w:val="uk-UA"/>
              </w:rPr>
              <w:t>самостійна робота, дискусія, групова робота</w:t>
            </w:r>
          </w:p>
        </w:tc>
        <w:tc>
          <w:tcPr>
            <w:tcW w:w="1718"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2853"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1504"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13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color w:val="000000"/>
                <w:lang w:val="uk-UA"/>
              </w:rPr>
            </w:pPr>
            <w:r>
              <w:rPr>
                <w:rFonts w:ascii="Times New Roman" w:hAnsi="Times New Roman" w:cs="Times New Roman"/>
                <w:b/>
                <w:bCs/>
                <w:color w:val="000000"/>
                <w:lang w:val="uk-UA"/>
              </w:rPr>
              <w:t>2 год</w:t>
            </w:r>
          </w:p>
        </w:tc>
        <w:tc>
          <w:tcPr>
            <w:tcW w:w="5117" w:type="dxa"/>
            <w:vMerge w:val="restart"/>
            <w:tcBorders>
              <w:top w:val="single" w:color="auto" w:sz="4" w:space="0"/>
              <w:left w:val="single" w:color="auto" w:sz="4" w:space="0"/>
              <w:right w:val="single" w:color="auto" w:sz="4" w:space="0"/>
            </w:tcBorders>
          </w:tcPr>
          <w:p>
            <w:pPr>
              <w:pStyle w:val="11"/>
              <w:jc w:val="left"/>
              <w:rPr>
                <w:iCs/>
                <w:sz w:val="22"/>
              </w:rPr>
            </w:pPr>
            <w:r>
              <w:rPr>
                <w:iCs/>
                <w:sz w:val="22"/>
              </w:rPr>
              <w:t>Тема 7. Системи масових платежів в мережі Інтернет</w:t>
            </w:r>
          </w:p>
          <w:p>
            <w:pPr>
              <w:pStyle w:val="11"/>
              <w:jc w:val="left"/>
              <w:rPr>
                <w:b w:val="0"/>
                <w:bCs w:val="0"/>
                <w:iCs/>
                <w:sz w:val="22"/>
              </w:rPr>
            </w:pPr>
            <w:r>
              <w:rPr>
                <w:b w:val="0"/>
                <w:bCs w:val="0"/>
                <w:i/>
                <w:sz w:val="22"/>
              </w:rPr>
              <w:t xml:space="preserve">Поняття, види та особливості українських сервісів онлайн платежів. </w:t>
            </w:r>
            <w:r>
              <w:rPr>
                <w:b w:val="0"/>
                <w:bCs w:val="0"/>
                <w:iCs/>
                <w:sz w:val="22"/>
                <w:lang w:val="en-US"/>
              </w:rPr>
              <w:t>Portmone</w:t>
            </w:r>
            <w:r>
              <w:rPr>
                <w:b w:val="0"/>
                <w:bCs w:val="0"/>
                <w:iCs/>
                <w:sz w:val="22"/>
              </w:rPr>
              <w:t xml:space="preserve">. </w:t>
            </w:r>
            <w:r>
              <w:rPr>
                <w:b w:val="0"/>
                <w:bCs w:val="0"/>
                <w:iCs/>
                <w:sz w:val="22"/>
                <w:lang w:val="en-US"/>
              </w:rPr>
              <w:t>IPay</w:t>
            </w:r>
            <w:r>
              <w:rPr>
                <w:b w:val="0"/>
                <w:bCs w:val="0"/>
                <w:iCs/>
                <w:sz w:val="22"/>
              </w:rPr>
              <w:t xml:space="preserve">. </w:t>
            </w:r>
            <w:r>
              <w:rPr>
                <w:b w:val="0"/>
                <w:bCs w:val="0"/>
                <w:iCs/>
                <w:sz w:val="22"/>
                <w:lang w:val="en-US"/>
              </w:rPr>
              <w:t>EasyPay</w:t>
            </w:r>
            <w:r>
              <w:rPr>
                <w:b w:val="0"/>
                <w:bCs w:val="0"/>
                <w:iCs/>
                <w:sz w:val="22"/>
              </w:rPr>
              <w:t xml:space="preserve">. </w:t>
            </w:r>
            <w:r>
              <w:rPr>
                <w:b w:val="0"/>
                <w:bCs w:val="0"/>
                <w:iCs/>
                <w:sz w:val="22"/>
                <w:lang w:val="en-US"/>
              </w:rPr>
              <w:t>LiqPay</w:t>
            </w:r>
            <w:r>
              <w:rPr>
                <w:b w:val="0"/>
                <w:bCs w:val="0"/>
                <w:iCs/>
                <w:sz w:val="22"/>
              </w:rPr>
              <w:t>.</w:t>
            </w:r>
          </w:p>
          <w:p>
            <w:pPr>
              <w:pStyle w:val="11"/>
              <w:jc w:val="left"/>
              <w:rPr>
                <w:b w:val="0"/>
                <w:bCs w:val="0"/>
                <w:iCs/>
                <w:sz w:val="22"/>
                <w:lang w:val="en-US"/>
              </w:rPr>
            </w:pPr>
            <w:r>
              <w:rPr>
                <w:b w:val="0"/>
                <w:bCs w:val="0"/>
                <w:i/>
                <w:sz w:val="22"/>
              </w:rPr>
              <w:t xml:space="preserve">Різновиди та характеристика міжнародних платіжних сервісів. </w:t>
            </w:r>
            <w:r>
              <w:rPr>
                <w:b w:val="0"/>
                <w:bCs w:val="0"/>
                <w:iCs/>
                <w:sz w:val="22"/>
                <w:lang w:val="en-US"/>
              </w:rPr>
              <w:t>PayPal. Skrill. Payoneer.</w:t>
            </w:r>
          </w:p>
        </w:tc>
        <w:tc>
          <w:tcPr>
            <w:tcW w:w="2213"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Лекція</w:t>
            </w:r>
          </w:p>
        </w:tc>
        <w:tc>
          <w:tcPr>
            <w:tcW w:w="1718"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3; 17</w:t>
            </w:r>
          </w:p>
        </w:tc>
        <w:tc>
          <w:tcPr>
            <w:tcW w:w="2853"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Опрацювати відповідні розділи рекомендованої літератури, підготувати презентацію/доповідь (за вибором студента), аналітичний огляд наукових публікацій, тези до теми. 10 год.</w:t>
            </w:r>
          </w:p>
        </w:tc>
        <w:tc>
          <w:tcPr>
            <w:tcW w:w="1504" w:type="dxa"/>
            <w:vMerge w:val="restart"/>
            <w:tcBorders>
              <w:top w:val="single" w:color="auto" w:sz="4" w:space="0"/>
              <w:left w:val="single" w:color="auto" w:sz="4" w:space="0"/>
              <w:right w:val="single" w:color="auto" w:sz="4" w:space="0"/>
            </w:tcBorders>
            <w:vAlign w:val="center"/>
          </w:tcPr>
          <w:p>
            <w:pPr>
              <w:spacing w:after="160"/>
              <w:jc w:val="center"/>
              <w:rPr>
                <w:rFonts w:ascii="Times New Roman" w:hAnsi="Times New Roman" w:cs="Times New Roman"/>
                <w:iCs/>
                <w:color w:val="000000"/>
                <w:lang w:val="uk-UA"/>
              </w:rPr>
            </w:pPr>
            <w:r>
              <w:rPr>
                <w:rFonts w:ascii="Times New Roman" w:hAnsi="Times New Roman" w:cs="Times New Roman"/>
                <w:iCs/>
                <w:color w:val="000000"/>
                <w:lang w:val="uk-UA"/>
              </w:rPr>
              <w:t>Тиж.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14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b/>
                <w:color w:val="000000"/>
                <w:lang w:val="uk-UA"/>
              </w:rPr>
            </w:pPr>
            <w:r>
              <w:rPr>
                <w:rFonts w:ascii="Times New Roman" w:hAnsi="Times New Roman" w:cs="Times New Roman"/>
                <w:b/>
                <w:bCs/>
                <w:color w:val="000000"/>
                <w:lang w:val="uk-UA"/>
              </w:rPr>
              <w:t>2 год</w:t>
            </w:r>
          </w:p>
        </w:tc>
        <w:tc>
          <w:tcPr>
            <w:tcW w:w="5117" w:type="dxa"/>
            <w:vMerge w:val="continue"/>
            <w:tcBorders>
              <w:left w:val="single" w:color="auto" w:sz="4" w:space="0"/>
              <w:bottom w:val="single" w:color="auto" w:sz="4" w:space="0"/>
              <w:right w:val="single" w:color="auto" w:sz="4" w:space="0"/>
            </w:tcBorders>
          </w:tcPr>
          <w:p>
            <w:pPr>
              <w:spacing w:after="160" w:line="240" w:lineRule="auto"/>
              <w:jc w:val="center"/>
              <w:rPr>
                <w:rFonts w:ascii="Times New Roman" w:hAnsi="Times New Roman" w:cs="Times New Roman"/>
                <w:b/>
                <w:color w:val="000000"/>
                <w:lang w:val="uk-UA"/>
              </w:rPr>
            </w:pPr>
          </w:p>
        </w:tc>
        <w:tc>
          <w:tcPr>
            <w:tcW w:w="2213" w:type="dxa"/>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Практичне заняття:</w:t>
            </w:r>
          </w:p>
          <w:p>
            <w:pPr>
              <w:spacing w:line="240" w:lineRule="auto"/>
              <w:jc w:val="center"/>
              <w:rPr>
                <w:rFonts w:ascii="Times New Roman" w:hAnsi="Times New Roman" w:cs="Times New Roman"/>
                <w:b/>
                <w:color w:val="000000"/>
                <w:lang w:val="uk-UA"/>
              </w:rPr>
            </w:pPr>
            <w:r>
              <w:rPr>
                <w:rFonts w:ascii="Times New Roman" w:hAnsi="Times New Roman" w:cs="Times New Roman"/>
                <w:color w:val="000000"/>
                <w:lang w:val="uk-UA"/>
              </w:rPr>
              <w:t>самостійна робота, дискусія, групова робота</w:t>
            </w:r>
          </w:p>
        </w:tc>
        <w:tc>
          <w:tcPr>
            <w:tcW w:w="1718"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2853"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1504"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15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b/>
                <w:color w:val="000000"/>
                <w:lang w:val="uk-UA"/>
              </w:rPr>
            </w:pPr>
            <w:r>
              <w:rPr>
                <w:rFonts w:ascii="Times New Roman" w:hAnsi="Times New Roman" w:cs="Times New Roman"/>
                <w:b/>
                <w:bCs/>
                <w:color w:val="000000"/>
                <w:lang w:val="uk-UA"/>
              </w:rPr>
              <w:t>2 год</w:t>
            </w:r>
          </w:p>
        </w:tc>
        <w:tc>
          <w:tcPr>
            <w:tcW w:w="5117" w:type="dxa"/>
            <w:vMerge w:val="restart"/>
            <w:tcBorders>
              <w:top w:val="single" w:color="auto" w:sz="4" w:space="0"/>
              <w:left w:val="single" w:color="auto" w:sz="4" w:space="0"/>
              <w:right w:val="single" w:color="auto" w:sz="4" w:space="0"/>
            </w:tcBorders>
          </w:tcPr>
          <w:p>
            <w:pPr>
              <w:pStyle w:val="11"/>
              <w:jc w:val="left"/>
              <w:rPr>
                <w:iCs/>
                <w:sz w:val="22"/>
              </w:rPr>
            </w:pPr>
            <w:r>
              <w:rPr>
                <w:iCs/>
                <w:sz w:val="22"/>
              </w:rPr>
              <w:t>Тема 8. Ризики та безпека платіжних систем</w:t>
            </w:r>
          </w:p>
          <w:p>
            <w:pPr>
              <w:pStyle w:val="11"/>
              <w:jc w:val="left"/>
              <w:rPr>
                <w:b w:val="0"/>
                <w:bCs w:val="0"/>
                <w:iCs/>
                <w:sz w:val="22"/>
              </w:rPr>
            </w:pPr>
            <w:r>
              <w:rPr>
                <w:b w:val="0"/>
                <w:bCs w:val="0"/>
                <w:i/>
                <w:sz w:val="22"/>
              </w:rPr>
              <w:t xml:space="preserve">Поняття та види ризиків платіжних систем. </w:t>
            </w:r>
            <w:r>
              <w:rPr>
                <w:b w:val="0"/>
                <w:bCs w:val="0"/>
                <w:iCs/>
                <w:sz w:val="22"/>
              </w:rPr>
              <w:t>Фінансові ризики. Нефінансові ризики.</w:t>
            </w:r>
          </w:p>
          <w:p>
            <w:pPr>
              <w:pStyle w:val="11"/>
              <w:jc w:val="left"/>
              <w:rPr>
                <w:b w:val="0"/>
                <w:bCs w:val="0"/>
                <w:i/>
                <w:sz w:val="22"/>
              </w:rPr>
            </w:pPr>
            <w:r>
              <w:rPr>
                <w:b w:val="0"/>
                <w:bCs w:val="0"/>
                <w:i/>
                <w:sz w:val="22"/>
              </w:rPr>
              <w:t xml:space="preserve">Управління ризиками та безпека платіжних систем. </w:t>
            </w:r>
            <w:r>
              <w:rPr>
                <w:b w:val="0"/>
                <w:bCs w:val="0"/>
                <w:iCs/>
                <w:sz w:val="22"/>
              </w:rPr>
              <w:t>Поняття інформаційної безпеки та етапи створення системи захисту. Типи загроз та реалізація політики безпеки платіжних систем.</w:t>
            </w:r>
          </w:p>
        </w:tc>
        <w:tc>
          <w:tcPr>
            <w:tcW w:w="2213"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Лекція</w:t>
            </w:r>
          </w:p>
        </w:tc>
        <w:tc>
          <w:tcPr>
            <w:tcW w:w="1718"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3; 15; 17</w:t>
            </w:r>
          </w:p>
        </w:tc>
        <w:tc>
          <w:tcPr>
            <w:tcW w:w="2853"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Опрацювати відповідні розділи рекомендованої літератури, підготувати презентацію/доповідь (за вибором студента), аналітичний огляд наукових публікацій, тези до теми. Підготовка до підсумкового тестування. 10 год.</w:t>
            </w:r>
          </w:p>
        </w:tc>
        <w:tc>
          <w:tcPr>
            <w:tcW w:w="1504" w:type="dxa"/>
            <w:vMerge w:val="restart"/>
            <w:tcBorders>
              <w:top w:val="single" w:color="auto" w:sz="4" w:space="0"/>
              <w:left w:val="single" w:color="auto" w:sz="4" w:space="0"/>
              <w:right w:val="single" w:color="auto" w:sz="4" w:space="0"/>
            </w:tcBorders>
            <w:vAlign w:val="center"/>
          </w:tcPr>
          <w:p>
            <w:pPr>
              <w:spacing w:after="160"/>
              <w:jc w:val="center"/>
              <w:rPr>
                <w:rFonts w:ascii="Times New Roman" w:hAnsi="Times New Roman" w:cs="Times New Roman"/>
                <w:color w:val="000000"/>
                <w:lang w:val="uk-UA"/>
              </w:rPr>
            </w:pPr>
            <w:r>
              <w:rPr>
                <w:rFonts w:ascii="Times New Roman" w:hAnsi="Times New Roman" w:cs="Times New Roman"/>
                <w:color w:val="000000"/>
                <w:lang w:val="uk-UA"/>
              </w:rPr>
              <w:t>Тиж.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16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b/>
                <w:color w:val="000000"/>
                <w:lang w:val="uk-UA"/>
              </w:rPr>
            </w:pPr>
            <w:r>
              <w:rPr>
                <w:rFonts w:ascii="Times New Roman" w:hAnsi="Times New Roman" w:cs="Times New Roman"/>
                <w:b/>
                <w:bCs/>
                <w:color w:val="000000"/>
                <w:lang w:val="uk-UA"/>
              </w:rPr>
              <w:t>2 год</w:t>
            </w:r>
          </w:p>
        </w:tc>
        <w:tc>
          <w:tcPr>
            <w:tcW w:w="5117" w:type="dxa"/>
            <w:vMerge w:val="continue"/>
            <w:tcBorders>
              <w:left w:val="single" w:color="auto" w:sz="4" w:space="0"/>
              <w:bottom w:val="single" w:color="auto" w:sz="4" w:space="0"/>
              <w:right w:val="single" w:color="auto" w:sz="4" w:space="0"/>
            </w:tcBorders>
          </w:tcPr>
          <w:p>
            <w:pPr>
              <w:spacing w:after="160" w:line="240" w:lineRule="auto"/>
              <w:jc w:val="center"/>
              <w:rPr>
                <w:rFonts w:ascii="Times New Roman" w:hAnsi="Times New Roman" w:cs="Times New Roman"/>
                <w:b/>
                <w:color w:val="000000"/>
                <w:lang w:val="uk-UA"/>
              </w:rPr>
            </w:pPr>
          </w:p>
        </w:tc>
        <w:tc>
          <w:tcPr>
            <w:tcW w:w="2213" w:type="dxa"/>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Практичне заняття:</w:t>
            </w:r>
          </w:p>
          <w:p>
            <w:pPr>
              <w:spacing w:line="240" w:lineRule="auto"/>
              <w:jc w:val="center"/>
              <w:rPr>
                <w:rFonts w:ascii="Times New Roman" w:hAnsi="Times New Roman" w:cs="Times New Roman"/>
                <w:b/>
                <w:color w:val="000000"/>
                <w:lang w:val="uk-UA"/>
              </w:rPr>
            </w:pPr>
            <w:r>
              <w:rPr>
                <w:rFonts w:ascii="Times New Roman" w:hAnsi="Times New Roman" w:cs="Times New Roman"/>
                <w:color w:val="000000"/>
                <w:lang w:val="uk-UA"/>
              </w:rPr>
              <w:t>самостійна робота, дискусія, групова робота</w:t>
            </w:r>
          </w:p>
        </w:tc>
        <w:tc>
          <w:tcPr>
            <w:tcW w:w="1718"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2853"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1504"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r>
    </w:tbl>
    <w:p>
      <w:pPr>
        <w:pStyle w:val="14"/>
        <w:rPr>
          <w:sz w:val="28"/>
          <w:szCs w:val="28"/>
        </w:rPr>
      </w:pPr>
    </w:p>
    <w:sectPr>
      <w:pgSz w:w="16840" w:h="11907" w:orient="landscape"/>
      <w:pgMar w:top="851" w:right="851" w:bottom="851" w:left="851" w:header="0" w:footer="709" w:gutter="0"/>
      <w:pgNumType w:start="1"/>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Cambria">
    <w:panose1 w:val="02040503050406030204"/>
    <w:charset w:val="CC"/>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Garamond">
    <w:panose1 w:val="02020404030301010803"/>
    <w:charset w:val="CC"/>
    <w:family w:val="roman"/>
    <w:pitch w:val="default"/>
    <w:sig w:usb0="00000287" w:usb1="00000000" w:usb2="00000000" w:usb3="00000000" w:csb0="0000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C378A9"/>
    <w:multiLevelType w:val="singleLevel"/>
    <w:tmpl w:val="84C378A9"/>
    <w:lvl w:ilvl="0" w:tentative="0">
      <w:start w:val="1"/>
      <w:numFmt w:val="bullet"/>
      <w:lvlText w:val=""/>
      <w:lvlJc w:val="left"/>
      <w:pPr>
        <w:tabs>
          <w:tab w:val="left" w:pos="420"/>
        </w:tabs>
        <w:ind w:left="420" w:hanging="420"/>
      </w:pPr>
      <w:rPr>
        <w:rFonts w:hint="default" w:ascii="Wingdings" w:hAnsi="Wingdings"/>
      </w:rPr>
    </w:lvl>
  </w:abstractNum>
  <w:abstractNum w:abstractNumId="1">
    <w:nsid w:val="91CBB541"/>
    <w:multiLevelType w:val="singleLevel"/>
    <w:tmpl w:val="91CBB541"/>
    <w:lvl w:ilvl="0" w:tentative="0">
      <w:start w:val="1"/>
      <w:numFmt w:val="decimal"/>
      <w:lvlText w:val="%1."/>
      <w:lvlJc w:val="left"/>
    </w:lvl>
  </w:abstractNum>
  <w:abstractNum w:abstractNumId="2">
    <w:nsid w:val="F37231C2"/>
    <w:multiLevelType w:val="multilevel"/>
    <w:tmpl w:val="F37231C2"/>
    <w:lvl w:ilvl="0" w:tentative="0">
      <w:start w:val="8"/>
      <w:numFmt w:val="bullet"/>
      <w:lvlText w:val="-"/>
      <w:lvlJc w:val="left"/>
      <w:pPr>
        <w:tabs>
          <w:tab w:val="left" w:pos="720"/>
        </w:tabs>
        <w:ind w:left="720" w:hanging="360"/>
      </w:pPr>
      <w:rPr>
        <w:rFonts w:hint="default"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cs="Symbol"/>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Symbol"/>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Symbol"/>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50994604"/>
    <w:multiLevelType w:val="multilevel"/>
    <w:tmpl w:val="50994604"/>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3176948"/>
    <w:multiLevelType w:val="multilevel"/>
    <w:tmpl w:val="5317694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7E5B441D"/>
    <w:multiLevelType w:val="multilevel"/>
    <w:tmpl w:val="7E5B441D"/>
    <w:lvl w:ilvl="0" w:tentative="0">
      <w:start w:val="144"/>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28C"/>
    <w:rsid w:val="00001426"/>
    <w:rsid w:val="00027138"/>
    <w:rsid w:val="000406F3"/>
    <w:rsid w:val="000642CF"/>
    <w:rsid w:val="00065DBD"/>
    <w:rsid w:val="00077E62"/>
    <w:rsid w:val="00083FDF"/>
    <w:rsid w:val="000A439A"/>
    <w:rsid w:val="000A4B58"/>
    <w:rsid w:val="000C0FB5"/>
    <w:rsid w:val="000D3038"/>
    <w:rsid w:val="000E12A6"/>
    <w:rsid w:val="000E3C3C"/>
    <w:rsid w:val="00103E79"/>
    <w:rsid w:val="001200A7"/>
    <w:rsid w:val="00136BEC"/>
    <w:rsid w:val="00137F67"/>
    <w:rsid w:val="001647CB"/>
    <w:rsid w:val="00170713"/>
    <w:rsid w:val="001A603A"/>
    <w:rsid w:val="001B328C"/>
    <w:rsid w:val="001C6C1D"/>
    <w:rsid w:val="001D6028"/>
    <w:rsid w:val="001E5C40"/>
    <w:rsid w:val="001F7096"/>
    <w:rsid w:val="00212339"/>
    <w:rsid w:val="00214C85"/>
    <w:rsid w:val="0022133A"/>
    <w:rsid w:val="00226718"/>
    <w:rsid w:val="00242523"/>
    <w:rsid w:val="00263CA9"/>
    <w:rsid w:val="00274B5E"/>
    <w:rsid w:val="00281AC1"/>
    <w:rsid w:val="00283CE3"/>
    <w:rsid w:val="002842A1"/>
    <w:rsid w:val="00292B66"/>
    <w:rsid w:val="002A4823"/>
    <w:rsid w:val="002C0850"/>
    <w:rsid w:val="002C323D"/>
    <w:rsid w:val="002C607F"/>
    <w:rsid w:val="002C6247"/>
    <w:rsid w:val="002D26ED"/>
    <w:rsid w:val="002E2D78"/>
    <w:rsid w:val="002E49B7"/>
    <w:rsid w:val="0030411F"/>
    <w:rsid w:val="00310979"/>
    <w:rsid w:val="00316C9B"/>
    <w:rsid w:val="00322790"/>
    <w:rsid w:val="00343B84"/>
    <w:rsid w:val="00346BAB"/>
    <w:rsid w:val="00366CBB"/>
    <w:rsid w:val="00371F6E"/>
    <w:rsid w:val="003B3CC3"/>
    <w:rsid w:val="00410B7D"/>
    <w:rsid w:val="004143B6"/>
    <w:rsid w:val="00414F47"/>
    <w:rsid w:val="00430FF6"/>
    <w:rsid w:val="00436183"/>
    <w:rsid w:val="00446457"/>
    <w:rsid w:val="00484A90"/>
    <w:rsid w:val="004A2270"/>
    <w:rsid w:val="004C2C19"/>
    <w:rsid w:val="004C44D4"/>
    <w:rsid w:val="004D111A"/>
    <w:rsid w:val="004D55BC"/>
    <w:rsid w:val="004F164D"/>
    <w:rsid w:val="004F3493"/>
    <w:rsid w:val="004F525E"/>
    <w:rsid w:val="004F779E"/>
    <w:rsid w:val="00503413"/>
    <w:rsid w:val="00504749"/>
    <w:rsid w:val="00507BF4"/>
    <w:rsid w:val="00514612"/>
    <w:rsid w:val="005205C0"/>
    <w:rsid w:val="00520627"/>
    <w:rsid w:val="005418B9"/>
    <w:rsid w:val="00545F04"/>
    <w:rsid w:val="00552CC7"/>
    <w:rsid w:val="00554CAE"/>
    <w:rsid w:val="00562619"/>
    <w:rsid w:val="005634CE"/>
    <w:rsid w:val="00566A8A"/>
    <w:rsid w:val="00582010"/>
    <w:rsid w:val="005B7752"/>
    <w:rsid w:val="005E68CA"/>
    <w:rsid w:val="00610F35"/>
    <w:rsid w:val="006224F3"/>
    <w:rsid w:val="00647767"/>
    <w:rsid w:val="00650390"/>
    <w:rsid w:val="00656C93"/>
    <w:rsid w:val="00664971"/>
    <w:rsid w:val="00665F3F"/>
    <w:rsid w:val="006738E6"/>
    <w:rsid w:val="00695904"/>
    <w:rsid w:val="00696C1E"/>
    <w:rsid w:val="006A6B29"/>
    <w:rsid w:val="006B621D"/>
    <w:rsid w:val="006D53D2"/>
    <w:rsid w:val="00741634"/>
    <w:rsid w:val="00754001"/>
    <w:rsid w:val="00756D32"/>
    <w:rsid w:val="00767BF6"/>
    <w:rsid w:val="00771EED"/>
    <w:rsid w:val="007778B7"/>
    <w:rsid w:val="007946C5"/>
    <w:rsid w:val="007A3E12"/>
    <w:rsid w:val="007B0791"/>
    <w:rsid w:val="007B1DE2"/>
    <w:rsid w:val="007B2741"/>
    <w:rsid w:val="007B3225"/>
    <w:rsid w:val="007B6206"/>
    <w:rsid w:val="007C2B88"/>
    <w:rsid w:val="007D6167"/>
    <w:rsid w:val="007E6C6A"/>
    <w:rsid w:val="007E7446"/>
    <w:rsid w:val="007F2436"/>
    <w:rsid w:val="008015F2"/>
    <w:rsid w:val="0080384F"/>
    <w:rsid w:val="00831E66"/>
    <w:rsid w:val="008440FF"/>
    <w:rsid w:val="0086529A"/>
    <w:rsid w:val="0086780E"/>
    <w:rsid w:val="008758FA"/>
    <w:rsid w:val="008958B5"/>
    <w:rsid w:val="008C1FC6"/>
    <w:rsid w:val="008D29DA"/>
    <w:rsid w:val="008F22EB"/>
    <w:rsid w:val="008F4921"/>
    <w:rsid w:val="00904D22"/>
    <w:rsid w:val="009147E1"/>
    <w:rsid w:val="00914A2C"/>
    <w:rsid w:val="00920E91"/>
    <w:rsid w:val="009249A2"/>
    <w:rsid w:val="00937984"/>
    <w:rsid w:val="00960ADA"/>
    <w:rsid w:val="00961E72"/>
    <w:rsid w:val="00964847"/>
    <w:rsid w:val="00975292"/>
    <w:rsid w:val="00975B23"/>
    <w:rsid w:val="00982C6D"/>
    <w:rsid w:val="009841CC"/>
    <w:rsid w:val="009B1DDD"/>
    <w:rsid w:val="009C134E"/>
    <w:rsid w:val="009D181A"/>
    <w:rsid w:val="009E1578"/>
    <w:rsid w:val="009E3457"/>
    <w:rsid w:val="00A024A0"/>
    <w:rsid w:val="00A042B3"/>
    <w:rsid w:val="00A1099F"/>
    <w:rsid w:val="00A12400"/>
    <w:rsid w:val="00A1787D"/>
    <w:rsid w:val="00A61DCA"/>
    <w:rsid w:val="00A704E6"/>
    <w:rsid w:val="00A735B9"/>
    <w:rsid w:val="00A867BB"/>
    <w:rsid w:val="00A86C95"/>
    <w:rsid w:val="00A92DE8"/>
    <w:rsid w:val="00A93EB6"/>
    <w:rsid w:val="00AA27C6"/>
    <w:rsid w:val="00AB4EC1"/>
    <w:rsid w:val="00AC4369"/>
    <w:rsid w:val="00AC78D7"/>
    <w:rsid w:val="00AE3CF2"/>
    <w:rsid w:val="00AE74C5"/>
    <w:rsid w:val="00B10523"/>
    <w:rsid w:val="00B13B3D"/>
    <w:rsid w:val="00B14601"/>
    <w:rsid w:val="00B1610A"/>
    <w:rsid w:val="00B23718"/>
    <w:rsid w:val="00B81DD7"/>
    <w:rsid w:val="00B86312"/>
    <w:rsid w:val="00B8655D"/>
    <w:rsid w:val="00B91CBE"/>
    <w:rsid w:val="00B935C3"/>
    <w:rsid w:val="00B9390E"/>
    <w:rsid w:val="00B959BE"/>
    <w:rsid w:val="00B97AE0"/>
    <w:rsid w:val="00BA21C9"/>
    <w:rsid w:val="00BA31D4"/>
    <w:rsid w:val="00BA379A"/>
    <w:rsid w:val="00BA4258"/>
    <w:rsid w:val="00BA7C12"/>
    <w:rsid w:val="00BC62C7"/>
    <w:rsid w:val="00BE335D"/>
    <w:rsid w:val="00BE7BC6"/>
    <w:rsid w:val="00BF04AB"/>
    <w:rsid w:val="00C336DF"/>
    <w:rsid w:val="00C37A86"/>
    <w:rsid w:val="00C514F9"/>
    <w:rsid w:val="00C55567"/>
    <w:rsid w:val="00C631FE"/>
    <w:rsid w:val="00C6429E"/>
    <w:rsid w:val="00C66498"/>
    <w:rsid w:val="00C74841"/>
    <w:rsid w:val="00C90492"/>
    <w:rsid w:val="00C907AA"/>
    <w:rsid w:val="00C922DB"/>
    <w:rsid w:val="00C93BF4"/>
    <w:rsid w:val="00CE33CF"/>
    <w:rsid w:val="00D10D92"/>
    <w:rsid w:val="00D11337"/>
    <w:rsid w:val="00D120E4"/>
    <w:rsid w:val="00D16BE9"/>
    <w:rsid w:val="00D300F8"/>
    <w:rsid w:val="00D354CE"/>
    <w:rsid w:val="00D508E2"/>
    <w:rsid w:val="00D5153F"/>
    <w:rsid w:val="00D54E18"/>
    <w:rsid w:val="00D64696"/>
    <w:rsid w:val="00D73C1B"/>
    <w:rsid w:val="00D76410"/>
    <w:rsid w:val="00D9020E"/>
    <w:rsid w:val="00DA3345"/>
    <w:rsid w:val="00DA56C0"/>
    <w:rsid w:val="00DA634B"/>
    <w:rsid w:val="00DA6BB2"/>
    <w:rsid w:val="00DB2847"/>
    <w:rsid w:val="00DC19C0"/>
    <w:rsid w:val="00DC1F2D"/>
    <w:rsid w:val="00DD454B"/>
    <w:rsid w:val="00DE26B0"/>
    <w:rsid w:val="00DF1926"/>
    <w:rsid w:val="00E14D9B"/>
    <w:rsid w:val="00E158C5"/>
    <w:rsid w:val="00E21236"/>
    <w:rsid w:val="00E32D6E"/>
    <w:rsid w:val="00E4080F"/>
    <w:rsid w:val="00E40AC3"/>
    <w:rsid w:val="00E47E3B"/>
    <w:rsid w:val="00E6098F"/>
    <w:rsid w:val="00E61368"/>
    <w:rsid w:val="00E679E5"/>
    <w:rsid w:val="00E74F81"/>
    <w:rsid w:val="00E8523E"/>
    <w:rsid w:val="00E90780"/>
    <w:rsid w:val="00E93BF5"/>
    <w:rsid w:val="00E963D2"/>
    <w:rsid w:val="00EA6884"/>
    <w:rsid w:val="00EB2FD4"/>
    <w:rsid w:val="00EB5F8C"/>
    <w:rsid w:val="00EB7B4D"/>
    <w:rsid w:val="00EC5B44"/>
    <w:rsid w:val="00EC753F"/>
    <w:rsid w:val="00ED358C"/>
    <w:rsid w:val="00ED60C0"/>
    <w:rsid w:val="00EE3715"/>
    <w:rsid w:val="00F126DA"/>
    <w:rsid w:val="00F21253"/>
    <w:rsid w:val="00F21D88"/>
    <w:rsid w:val="00F2408A"/>
    <w:rsid w:val="00F35444"/>
    <w:rsid w:val="00F47D0D"/>
    <w:rsid w:val="00F740F5"/>
    <w:rsid w:val="00F75784"/>
    <w:rsid w:val="00FA55EE"/>
    <w:rsid w:val="00FB194D"/>
    <w:rsid w:val="00FB68C6"/>
    <w:rsid w:val="00FC1A7F"/>
    <w:rsid w:val="00FE2D02"/>
    <w:rsid w:val="00FE3D7A"/>
    <w:rsid w:val="0693496A"/>
    <w:rsid w:val="084C099F"/>
    <w:rsid w:val="09C663B8"/>
    <w:rsid w:val="0AA622B6"/>
    <w:rsid w:val="0AC23EBC"/>
    <w:rsid w:val="0B176743"/>
    <w:rsid w:val="0C4117FA"/>
    <w:rsid w:val="158E7582"/>
    <w:rsid w:val="15917E2D"/>
    <w:rsid w:val="160D2538"/>
    <w:rsid w:val="17777655"/>
    <w:rsid w:val="18DF23E1"/>
    <w:rsid w:val="1A3164E8"/>
    <w:rsid w:val="1C9B6156"/>
    <w:rsid w:val="1E28675D"/>
    <w:rsid w:val="1E33362D"/>
    <w:rsid w:val="1EB14F6A"/>
    <w:rsid w:val="1F0C081E"/>
    <w:rsid w:val="21CB439B"/>
    <w:rsid w:val="22A72BBA"/>
    <w:rsid w:val="23597953"/>
    <w:rsid w:val="24615410"/>
    <w:rsid w:val="24A0491E"/>
    <w:rsid w:val="26A50419"/>
    <w:rsid w:val="26DC7087"/>
    <w:rsid w:val="296470AD"/>
    <w:rsid w:val="297219CA"/>
    <w:rsid w:val="2AAA2012"/>
    <w:rsid w:val="2D403E3F"/>
    <w:rsid w:val="2DE71B39"/>
    <w:rsid w:val="2E4D3481"/>
    <w:rsid w:val="2E69619F"/>
    <w:rsid w:val="30832ED1"/>
    <w:rsid w:val="31C35B4C"/>
    <w:rsid w:val="31E15F7F"/>
    <w:rsid w:val="35CA2D56"/>
    <w:rsid w:val="371504A6"/>
    <w:rsid w:val="38C91D78"/>
    <w:rsid w:val="3A0505E4"/>
    <w:rsid w:val="3B0050F5"/>
    <w:rsid w:val="3B0A50DA"/>
    <w:rsid w:val="3C3E16C0"/>
    <w:rsid w:val="3D050DFA"/>
    <w:rsid w:val="40E91180"/>
    <w:rsid w:val="42145C10"/>
    <w:rsid w:val="44422631"/>
    <w:rsid w:val="44CA7DE1"/>
    <w:rsid w:val="456461BC"/>
    <w:rsid w:val="46DC526F"/>
    <w:rsid w:val="47345999"/>
    <w:rsid w:val="48144F78"/>
    <w:rsid w:val="4AE242BD"/>
    <w:rsid w:val="4B833E8D"/>
    <w:rsid w:val="4C175BE1"/>
    <w:rsid w:val="4EDE4687"/>
    <w:rsid w:val="4F414E17"/>
    <w:rsid w:val="4FAB21E0"/>
    <w:rsid w:val="50561E33"/>
    <w:rsid w:val="521C64AD"/>
    <w:rsid w:val="526B7EA1"/>
    <w:rsid w:val="52E11244"/>
    <w:rsid w:val="531439DE"/>
    <w:rsid w:val="54F30650"/>
    <w:rsid w:val="554D0783"/>
    <w:rsid w:val="556E2A8B"/>
    <w:rsid w:val="558054D2"/>
    <w:rsid w:val="558741AD"/>
    <w:rsid w:val="55E47593"/>
    <w:rsid w:val="56725738"/>
    <w:rsid w:val="56CC6C9C"/>
    <w:rsid w:val="57BC4D51"/>
    <w:rsid w:val="58966BA0"/>
    <w:rsid w:val="59A24C09"/>
    <w:rsid w:val="5AE05DBB"/>
    <w:rsid w:val="5CB82FB7"/>
    <w:rsid w:val="5CF62644"/>
    <w:rsid w:val="5CFF4CF5"/>
    <w:rsid w:val="5F591C0E"/>
    <w:rsid w:val="5FAB36C7"/>
    <w:rsid w:val="5FF27415"/>
    <w:rsid w:val="600B7EF2"/>
    <w:rsid w:val="64490B52"/>
    <w:rsid w:val="66142FA6"/>
    <w:rsid w:val="668A7972"/>
    <w:rsid w:val="669141B5"/>
    <w:rsid w:val="674000AC"/>
    <w:rsid w:val="67FA6317"/>
    <w:rsid w:val="68CD1316"/>
    <w:rsid w:val="68CD1A37"/>
    <w:rsid w:val="6A814801"/>
    <w:rsid w:val="6AC72090"/>
    <w:rsid w:val="6AE53A06"/>
    <w:rsid w:val="6BDD3236"/>
    <w:rsid w:val="6CF82D92"/>
    <w:rsid w:val="6DA60A9E"/>
    <w:rsid w:val="6DAB6D05"/>
    <w:rsid w:val="6EE533B0"/>
    <w:rsid w:val="6EEA5853"/>
    <w:rsid w:val="70292E0F"/>
    <w:rsid w:val="70995339"/>
    <w:rsid w:val="73DE6E8C"/>
    <w:rsid w:val="73EE1D83"/>
    <w:rsid w:val="74593553"/>
    <w:rsid w:val="769C5EE1"/>
    <w:rsid w:val="78652D77"/>
    <w:rsid w:val="788F7D13"/>
    <w:rsid w:val="790A140A"/>
    <w:rsid w:val="7C4B03A5"/>
    <w:rsid w:val="7D306AB3"/>
    <w:rsid w:val="7E9D33E2"/>
    <w:rsid w:val="7EB06912"/>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line="276" w:lineRule="auto"/>
    </w:pPr>
    <w:rPr>
      <w:rFonts w:ascii="Arial" w:hAnsi="Arial" w:eastAsia="Times New Roman" w:cs="Arial"/>
      <w:sz w:val="22"/>
      <w:szCs w:val="22"/>
      <w:lang w:val="ru-RU" w:eastAsia="uk-UA" w:bidi="ar-SA"/>
    </w:rPr>
  </w:style>
  <w:style w:type="paragraph" w:styleId="2">
    <w:name w:val="heading 3"/>
    <w:basedOn w:val="1"/>
    <w:next w:val="1"/>
    <w:link w:val="15"/>
    <w:qFormat/>
    <w:uiPriority w:val="0"/>
    <w:pPr>
      <w:keepNext/>
      <w:keepLines/>
      <w:spacing w:before="320" w:after="80"/>
      <w:outlineLvl w:val="2"/>
    </w:pPr>
    <w:rPr>
      <w:color w:val="434343"/>
      <w:sz w:val="28"/>
      <w:szCs w:val="28"/>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FollowedHyperlink"/>
    <w:basedOn w:val="3"/>
    <w:semiHidden/>
    <w:unhideWhenUsed/>
    <w:qFormat/>
    <w:uiPriority w:val="99"/>
    <w:rPr>
      <w:color w:val="800080" w:themeColor="followedHyperlink"/>
      <w:u w:val="single"/>
      <w14:textFill>
        <w14:solidFill>
          <w14:schemeClr w14:val="folHlink"/>
        </w14:solidFill>
      </w14:textFill>
    </w:rPr>
  </w:style>
  <w:style w:type="character" w:styleId="6">
    <w:name w:val="Hyperlink"/>
    <w:basedOn w:val="3"/>
    <w:uiPriority w:val="0"/>
    <w:rPr>
      <w:rFonts w:cs="Times New Roman"/>
      <w:color w:val="0000FF"/>
      <w:u w:val="single"/>
    </w:rPr>
  </w:style>
  <w:style w:type="paragraph" w:styleId="7">
    <w:name w:val="Balloon Text"/>
    <w:basedOn w:val="1"/>
    <w:link w:val="24"/>
    <w:semiHidden/>
    <w:unhideWhenUsed/>
    <w:qFormat/>
    <w:uiPriority w:val="99"/>
    <w:pPr>
      <w:spacing w:line="240" w:lineRule="auto"/>
    </w:pPr>
    <w:rPr>
      <w:rFonts w:ascii="Segoe UI" w:hAnsi="Segoe UI" w:cs="Segoe UI"/>
      <w:sz w:val="18"/>
      <w:szCs w:val="18"/>
    </w:rPr>
  </w:style>
  <w:style w:type="paragraph" w:styleId="8">
    <w:name w:val="header"/>
    <w:basedOn w:val="1"/>
    <w:link w:val="19"/>
    <w:unhideWhenUsed/>
    <w:qFormat/>
    <w:uiPriority w:val="99"/>
    <w:pPr>
      <w:tabs>
        <w:tab w:val="center" w:pos="4677"/>
        <w:tab w:val="right" w:pos="9355"/>
      </w:tabs>
      <w:spacing w:line="240" w:lineRule="auto"/>
    </w:pPr>
    <w:rPr>
      <w:rFonts w:ascii="Times New Roman" w:hAnsi="Times New Roman" w:cs="Times New Roman"/>
      <w:sz w:val="24"/>
      <w:szCs w:val="24"/>
      <w:lang w:val="zh-CN" w:eastAsia="zh-CN"/>
    </w:rPr>
  </w:style>
  <w:style w:type="paragraph" w:styleId="9">
    <w:name w:val="Body Text"/>
    <w:basedOn w:val="1"/>
    <w:link w:val="21"/>
    <w:uiPriority w:val="0"/>
    <w:pPr>
      <w:spacing w:after="120" w:line="240" w:lineRule="auto"/>
    </w:pPr>
    <w:rPr>
      <w:rFonts w:ascii="Times New Roman" w:hAnsi="Times New Roman" w:cs="Times New Roman"/>
      <w:sz w:val="28"/>
      <w:szCs w:val="24"/>
      <w:lang w:eastAsia="ru-RU"/>
    </w:rPr>
  </w:style>
  <w:style w:type="paragraph" w:styleId="10">
    <w:name w:val="Body Text Indent"/>
    <w:basedOn w:val="1"/>
    <w:link w:val="16"/>
    <w:uiPriority w:val="0"/>
    <w:pPr>
      <w:spacing w:line="360" w:lineRule="auto"/>
      <w:ind w:firstLine="709"/>
      <w:jc w:val="both"/>
    </w:pPr>
    <w:rPr>
      <w:rFonts w:ascii="Times New Roman" w:hAnsi="Times New Roman" w:eastAsia="Arial" w:cs="Times New Roman"/>
      <w:sz w:val="28"/>
      <w:szCs w:val="24"/>
      <w:lang w:val="uk-UA" w:eastAsia="ru-RU"/>
    </w:rPr>
  </w:style>
  <w:style w:type="paragraph" w:styleId="11">
    <w:name w:val="Title"/>
    <w:basedOn w:val="1"/>
    <w:link w:val="23"/>
    <w:qFormat/>
    <w:uiPriority w:val="0"/>
    <w:pPr>
      <w:spacing w:line="240" w:lineRule="auto"/>
      <w:jc w:val="center"/>
    </w:pPr>
    <w:rPr>
      <w:rFonts w:ascii="Times New Roman" w:hAnsi="Times New Roman" w:cs="Times New Roman"/>
      <w:b/>
      <w:bCs/>
      <w:w w:val="106"/>
      <w:sz w:val="28"/>
      <w:lang w:val="uk-UA" w:eastAsia="ru-RU"/>
    </w:rPr>
  </w:style>
  <w:style w:type="paragraph" w:styleId="12">
    <w:name w:val="Normal (Web)"/>
    <w:basedOn w:val="1"/>
    <w:qFormat/>
    <w:uiPriority w:val="99"/>
    <w:pPr>
      <w:spacing w:before="100" w:beforeAutospacing="1" w:after="100" w:afterAutospacing="1" w:line="240" w:lineRule="auto"/>
    </w:pPr>
    <w:rPr>
      <w:rFonts w:eastAsia="Arial"/>
      <w:color w:val="003300"/>
      <w:lang w:val="uk-UA"/>
    </w:rPr>
  </w:style>
  <w:style w:type="table" w:styleId="13">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Default"/>
    <w:qFormat/>
    <w:uiPriority w:val="0"/>
    <w:pPr>
      <w:autoSpaceDE w:val="0"/>
      <w:autoSpaceDN w:val="0"/>
      <w:adjustRightInd w:val="0"/>
    </w:pPr>
    <w:rPr>
      <w:rFonts w:ascii="Times New Roman" w:hAnsi="Times New Roman" w:cs="Times New Roman" w:eastAsiaTheme="minorHAnsi"/>
      <w:color w:val="000000"/>
      <w:sz w:val="24"/>
      <w:szCs w:val="24"/>
      <w:lang w:val="uk-UA" w:eastAsia="en-US" w:bidi="ar-SA"/>
    </w:rPr>
  </w:style>
  <w:style w:type="character" w:customStyle="1" w:styleId="15">
    <w:name w:val="Заголовок 3 Знак"/>
    <w:basedOn w:val="3"/>
    <w:link w:val="2"/>
    <w:qFormat/>
    <w:uiPriority w:val="0"/>
    <w:rPr>
      <w:rFonts w:ascii="Arial" w:hAnsi="Arial" w:eastAsia="Times New Roman" w:cs="Arial"/>
      <w:color w:val="434343"/>
      <w:sz w:val="28"/>
      <w:szCs w:val="28"/>
      <w:lang w:val="ru-RU" w:eastAsia="uk-UA"/>
    </w:rPr>
  </w:style>
  <w:style w:type="character" w:customStyle="1" w:styleId="16">
    <w:name w:val="Основний текст з відступом Знак"/>
    <w:basedOn w:val="3"/>
    <w:link w:val="10"/>
    <w:qFormat/>
    <w:uiPriority w:val="0"/>
    <w:rPr>
      <w:rFonts w:ascii="Times New Roman" w:hAnsi="Times New Roman" w:eastAsia="Arial" w:cs="Times New Roman"/>
      <w:sz w:val="28"/>
      <w:szCs w:val="24"/>
      <w:lang w:eastAsia="ru-RU"/>
    </w:rPr>
  </w:style>
  <w:style w:type="paragraph" w:customStyle="1" w:styleId="17">
    <w:name w:val="Абзац списку1"/>
    <w:basedOn w:val="1"/>
    <w:uiPriority w:val="0"/>
    <w:pPr>
      <w:spacing w:after="200"/>
      <w:ind w:left="720"/>
    </w:pPr>
    <w:rPr>
      <w:rFonts w:ascii="Cambria" w:hAnsi="Cambria" w:cs="Times New Roman"/>
      <w:lang w:val="uk-UA" w:eastAsia="en-US"/>
    </w:rPr>
  </w:style>
  <w:style w:type="paragraph" w:customStyle="1" w:styleId="18">
    <w:name w:val="FR1"/>
    <w:uiPriority w:val="0"/>
    <w:pPr>
      <w:widowControl w:val="0"/>
      <w:autoSpaceDE w:val="0"/>
      <w:autoSpaceDN w:val="0"/>
      <w:adjustRightInd w:val="0"/>
      <w:spacing w:before="220"/>
      <w:jc w:val="center"/>
    </w:pPr>
    <w:rPr>
      <w:rFonts w:ascii="Arial" w:hAnsi="Arial" w:eastAsia="Arial" w:cs="Arial"/>
      <w:b/>
      <w:bCs/>
      <w:i/>
      <w:iCs/>
      <w:lang w:val="uk-UA" w:eastAsia="ru-RU" w:bidi="ar-SA"/>
    </w:rPr>
  </w:style>
  <w:style w:type="character" w:customStyle="1" w:styleId="19">
    <w:name w:val="Верхній колонтитул Знак"/>
    <w:basedOn w:val="3"/>
    <w:link w:val="8"/>
    <w:qFormat/>
    <w:uiPriority w:val="99"/>
    <w:rPr>
      <w:rFonts w:ascii="Times New Roman" w:hAnsi="Times New Roman" w:eastAsia="Times New Roman" w:cs="Times New Roman"/>
      <w:sz w:val="24"/>
      <w:szCs w:val="24"/>
      <w:lang w:val="zh-CN" w:eastAsia="zh-CN"/>
    </w:rPr>
  </w:style>
  <w:style w:type="paragraph" w:styleId="20">
    <w:name w:val="List Paragraph"/>
    <w:basedOn w:val="1"/>
    <w:qFormat/>
    <w:uiPriority w:val="34"/>
    <w:pPr>
      <w:spacing w:after="200"/>
      <w:ind w:left="720"/>
      <w:contextualSpacing/>
    </w:pPr>
    <w:rPr>
      <w:rFonts w:ascii="Calibri" w:hAnsi="Calibri" w:eastAsia="Calibri" w:cs="Times New Roman"/>
      <w:lang w:eastAsia="en-US"/>
    </w:rPr>
  </w:style>
  <w:style w:type="character" w:customStyle="1" w:styleId="21">
    <w:name w:val="Основний текст Знак"/>
    <w:basedOn w:val="3"/>
    <w:link w:val="9"/>
    <w:qFormat/>
    <w:uiPriority w:val="0"/>
    <w:rPr>
      <w:rFonts w:ascii="Times New Roman" w:hAnsi="Times New Roman" w:eastAsia="Times New Roman" w:cs="Times New Roman"/>
      <w:sz w:val="28"/>
      <w:szCs w:val="24"/>
      <w:lang w:val="ru-RU" w:eastAsia="ru-RU"/>
    </w:rPr>
  </w:style>
  <w:style w:type="character" w:customStyle="1" w:styleId="22">
    <w:name w:val="Незакрита згадка1"/>
    <w:basedOn w:val="3"/>
    <w:semiHidden/>
    <w:unhideWhenUsed/>
    <w:qFormat/>
    <w:uiPriority w:val="99"/>
    <w:rPr>
      <w:color w:val="605E5C"/>
      <w:shd w:val="clear" w:color="auto" w:fill="E1DFDD"/>
    </w:rPr>
  </w:style>
  <w:style w:type="character" w:customStyle="1" w:styleId="23">
    <w:name w:val="Назва Знак"/>
    <w:basedOn w:val="3"/>
    <w:link w:val="11"/>
    <w:qFormat/>
    <w:uiPriority w:val="0"/>
    <w:rPr>
      <w:rFonts w:ascii="Times New Roman" w:hAnsi="Times New Roman" w:eastAsia="Times New Roman" w:cs="Times New Roman"/>
      <w:b/>
      <w:bCs/>
      <w:w w:val="106"/>
      <w:sz w:val="28"/>
      <w:lang w:eastAsia="ru-RU"/>
    </w:rPr>
  </w:style>
  <w:style w:type="character" w:customStyle="1" w:styleId="24">
    <w:name w:val="Текст у виносці Знак"/>
    <w:basedOn w:val="3"/>
    <w:link w:val="7"/>
    <w:semiHidden/>
    <w:qFormat/>
    <w:uiPriority w:val="99"/>
    <w:rPr>
      <w:rFonts w:ascii="Segoe UI" w:hAnsi="Segoe UI" w:eastAsia="Times New Roman" w:cs="Segoe UI"/>
      <w:sz w:val="18"/>
      <w:szCs w:val="18"/>
      <w:lang w:val="ru-RU" w:eastAsia="uk-U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E4B380-599F-4B60-9311-9EDF199C7DC6}">
  <ds:schemaRefs/>
</ds:datastoreItem>
</file>

<file path=docProps/app.xml><?xml version="1.0" encoding="utf-8"?>
<Properties xmlns="http://schemas.openxmlformats.org/officeDocument/2006/extended-properties" xmlns:vt="http://schemas.openxmlformats.org/officeDocument/2006/docPropsVTypes">
  <Template>Normal</Template>
  <Pages>10</Pages>
  <Words>11887</Words>
  <Characters>6777</Characters>
  <Lines>56</Lines>
  <Paragraphs>37</Paragraphs>
  <TotalTime>5</TotalTime>
  <ScaleCrop>false</ScaleCrop>
  <LinksUpToDate>false</LinksUpToDate>
  <CharactersWithSpaces>18627</CharactersWithSpaces>
  <Application>WPS Office_11.2.0.10017_F1E327BC-269C-435d-A152-05C5408002CA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2021-03-05T17:06:00Z</dcterms:created>
  <dc:creator>PC</dc:creator>
  <cp:lastModifiedBy>ZenBook</cp:lastModifiedBy>
  <cp:lastPrinted>2020-08-30T15:52:00Z</cp:lastPrinted>
  <dcterms:modified xsi:type="dcterms:W3CDTF">2021-03-05T17:11:09Z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1049-11.2.0.10017</vt:lpwstr>
  </property>
</Properties>
</file>