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E" w:rsidRDefault="000D40FE" w:rsidP="00431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431892" w:rsidRPr="00431892" w:rsidRDefault="00431892" w:rsidP="00431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431892" w:rsidRDefault="000D40FE" w:rsidP="00431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431892" w:rsidRDefault="000D40FE" w:rsidP="00431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Факультет </w:t>
      </w:r>
      <w:r w:rsidR="001D353D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</w:t>
      </w:r>
    </w:p>
    <w:p w:rsidR="000D40FE" w:rsidRPr="00431892" w:rsidRDefault="000D40FE" w:rsidP="00431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1D353D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економіки підприємства</w:t>
      </w:r>
    </w:p>
    <w:p w:rsidR="000D40FE" w:rsidRPr="00431892" w:rsidRDefault="000D40FE" w:rsidP="004318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431892" w:rsidRDefault="000D40FE" w:rsidP="004318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31892" w:rsidRPr="00431892" w:rsidRDefault="00431892" w:rsidP="00431892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431892">
        <w:rPr>
          <w:rFonts w:ascii="Times New Roman" w:hAnsi="Times New Roman"/>
          <w:b/>
          <w:sz w:val="28"/>
          <w:szCs w:val="28"/>
        </w:rPr>
        <w:t>Затверджено</w:t>
      </w:r>
    </w:p>
    <w:p w:rsidR="00431892" w:rsidRPr="00431892" w:rsidRDefault="00431892" w:rsidP="00431892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431892">
        <w:rPr>
          <w:rFonts w:ascii="Times New Roman" w:hAnsi="Times New Roman"/>
          <w:sz w:val="28"/>
          <w:szCs w:val="28"/>
        </w:rPr>
        <w:t xml:space="preserve">На засіданні кафедри економіки </w:t>
      </w:r>
    </w:p>
    <w:p w:rsidR="00431892" w:rsidRPr="00431892" w:rsidRDefault="00431892" w:rsidP="00431892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431892">
        <w:rPr>
          <w:rFonts w:ascii="Times New Roman" w:hAnsi="Times New Roman"/>
          <w:sz w:val="28"/>
          <w:szCs w:val="28"/>
        </w:rPr>
        <w:t>підприємства економічного факультету</w:t>
      </w:r>
    </w:p>
    <w:p w:rsidR="00431892" w:rsidRPr="00431892" w:rsidRDefault="00431892" w:rsidP="00431892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431892">
        <w:rPr>
          <w:rFonts w:ascii="Times New Roman" w:hAnsi="Times New Roman"/>
          <w:sz w:val="28"/>
          <w:szCs w:val="28"/>
        </w:rPr>
        <w:t xml:space="preserve">Львівського національного університету </w:t>
      </w:r>
    </w:p>
    <w:p w:rsidR="00B75914" w:rsidRPr="00431892" w:rsidRDefault="00431892" w:rsidP="0043189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31892">
        <w:rPr>
          <w:rFonts w:ascii="Times New Roman" w:hAnsi="Times New Roman"/>
          <w:sz w:val="28"/>
          <w:szCs w:val="28"/>
        </w:rPr>
        <w:t>імені Івана Франка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B75914" w:rsidRPr="00431892">
        <w:rPr>
          <w:rFonts w:ascii="Times New Roman" w:hAnsi="Times New Roman"/>
          <w:sz w:val="28"/>
          <w:szCs w:val="28"/>
        </w:rPr>
        <w:t xml:space="preserve">(протокол № </w:t>
      </w:r>
      <w:r w:rsidR="001D353D" w:rsidRPr="00431892">
        <w:rPr>
          <w:rFonts w:ascii="Times New Roman" w:hAnsi="Times New Roman"/>
          <w:sz w:val="28"/>
          <w:szCs w:val="28"/>
        </w:rPr>
        <w:t>1</w:t>
      </w:r>
      <w:r w:rsidR="00B75914" w:rsidRPr="00431892">
        <w:rPr>
          <w:rFonts w:ascii="Times New Roman" w:hAnsi="Times New Roman"/>
          <w:sz w:val="28"/>
          <w:szCs w:val="28"/>
        </w:rPr>
        <w:t xml:space="preserve"> від </w:t>
      </w:r>
      <w:r w:rsidR="001D353D" w:rsidRPr="00431892">
        <w:rPr>
          <w:rFonts w:ascii="Times New Roman" w:hAnsi="Times New Roman"/>
          <w:sz w:val="28"/>
          <w:szCs w:val="28"/>
        </w:rPr>
        <w:t>31.08.</w:t>
      </w:r>
      <w:r w:rsidR="00B75914" w:rsidRPr="00431892">
        <w:rPr>
          <w:rFonts w:ascii="Times New Roman" w:hAnsi="Times New Roman"/>
          <w:sz w:val="28"/>
          <w:szCs w:val="28"/>
        </w:rPr>
        <w:t xml:space="preserve"> 20</w:t>
      </w:r>
      <w:r w:rsidR="00280411" w:rsidRPr="00431892">
        <w:rPr>
          <w:rFonts w:ascii="Times New Roman" w:hAnsi="Times New Roman"/>
          <w:sz w:val="28"/>
          <w:szCs w:val="28"/>
        </w:rPr>
        <w:t>19</w:t>
      </w:r>
      <w:r w:rsidR="00B75914" w:rsidRPr="00431892">
        <w:rPr>
          <w:rFonts w:ascii="Times New Roman" w:hAnsi="Times New Roman"/>
          <w:sz w:val="28"/>
          <w:szCs w:val="28"/>
        </w:rPr>
        <w:t xml:space="preserve"> р.)</w:t>
      </w:r>
    </w:p>
    <w:p w:rsidR="00B75914" w:rsidRPr="00431892" w:rsidRDefault="00B75914" w:rsidP="004318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431892" w:rsidRDefault="00B75914" w:rsidP="0043189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31892">
        <w:rPr>
          <w:rFonts w:ascii="Times New Roman" w:hAnsi="Times New Roman"/>
          <w:sz w:val="28"/>
          <w:szCs w:val="28"/>
        </w:rPr>
        <w:t xml:space="preserve">Завідувач кафедри </w:t>
      </w:r>
    </w:p>
    <w:p w:rsidR="00B75914" w:rsidRPr="00431892" w:rsidRDefault="00410883" w:rsidP="0043189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31892">
        <w:rPr>
          <w:rFonts w:ascii="Times New Roman" w:hAnsi="Times New Roman"/>
          <w:sz w:val="28"/>
          <w:szCs w:val="28"/>
        </w:rPr>
        <w:t>______</w:t>
      </w:r>
      <w:r w:rsidR="00431892">
        <w:rPr>
          <w:rFonts w:ascii="Times New Roman" w:hAnsi="Times New Roman"/>
          <w:sz w:val="28"/>
          <w:szCs w:val="28"/>
        </w:rPr>
        <w:t>________</w:t>
      </w:r>
      <w:r w:rsidRPr="00431892">
        <w:rPr>
          <w:rFonts w:ascii="Times New Roman" w:hAnsi="Times New Roman"/>
          <w:sz w:val="28"/>
          <w:szCs w:val="28"/>
        </w:rPr>
        <w:t xml:space="preserve">__ </w:t>
      </w:r>
      <w:r w:rsidR="00431892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Pr="00431892">
        <w:rPr>
          <w:rFonts w:ascii="Times New Roman" w:hAnsi="Times New Roman"/>
          <w:sz w:val="28"/>
          <w:szCs w:val="28"/>
        </w:rPr>
        <w:t>Михасюк</w:t>
      </w:r>
      <w:proofErr w:type="spellEnd"/>
      <w:r w:rsidRPr="00431892">
        <w:rPr>
          <w:rFonts w:ascii="Times New Roman" w:hAnsi="Times New Roman"/>
          <w:sz w:val="28"/>
          <w:szCs w:val="28"/>
        </w:rPr>
        <w:t xml:space="preserve"> І.Р.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1892" w:rsidRDefault="00431892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1892" w:rsidRDefault="00431892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218E4" w:rsidRDefault="001218E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1892" w:rsidRPr="00431892" w:rsidRDefault="001218E4" w:rsidP="00431892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3189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</w:t>
      </w:r>
    </w:p>
    <w:p w:rsidR="00431892" w:rsidRDefault="00431892" w:rsidP="0043189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31892" w:rsidRDefault="00431892" w:rsidP="0043189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</w:t>
      </w: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навчальної дисципліни </w:t>
      </w:r>
    </w:p>
    <w:p w:rsidR="00B75914" w:rsidRPr="00431892" w:rsidRDefault="001218E4" w:rsidP="0043189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2B72B9">
        <w:rPr>
          <w:rFonts w:ascii="Times New Roman" w:eastAsia="Times New Roman" w:hAnsi="Times New Roman"/>
          <w:b/>
          <w:color w:val="000000"/>
          <w:sz w:val="28"/>
          <w:szCs w:val="28"/>
        </w:rPr>
        <w:t>МЕРЧЕНДАЙЗИНГ</w:t>
      </w: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B75914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:rsidR="00B75914" w:rsidRPr="00431892" w:rsidRDefault="00B75914" w:rsidP="0043189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щ</w:t>
      </w:r>
      <w:r w:rsidR="00CC6072">
        <w:rPr>
          <w:rFonts w:ascii="Times New Roman" w:eastAsia="Times New Roman" w:hAnsi="Times New Roman"/>
          <w:b/>
          <w:color w:val="000000"/>
          <w:sz w:val="28"/>
          <w:szCs w:val="28"/>
        </w:rPr>
        <w:t>о викладається в межах ОПП</w:t>
      </w: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218E4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«Підприємництво, торгівля та біржова діяльність»</w:t>
      </w: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першого (бакалаврського) рівня вищої освіти </w:t>
      </w:r>
      <w:r w:rsidR="006D70D9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для здобувачів </w:t>
      </w:r>
      <w:r w:rsidR="001218E4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і</w:t>
      </w:r>
      <w:r w:rsidR="006D70D9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з</w:t>
      </w: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спеціальності </w:t>
      </w:r>
      <w:r w:rsidR="00732D8C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076 </w:t>
      </w:r>
      <w:r w:rsidR="00E64C4F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732D8C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Підприємництво, торгівля та біржова діяльність»</w:t>
      </w:r>
      <w:r w:rsidR="001218E4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431892"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та</w:t>
      </w:r>
    </w:p>
    <w:p w:rsidR="00B75914" w:rsidRDefault="00431892" w:rsidP="0043189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892">
        <w:rPr>
          <w:rFonts w:ascii="Times New Roman" w:eastAsia="Times New Roman" w:hAnsi="Times New Roman"/>
          <w:b/>
          <w:color w:val="000000"/>
          <w:sz w:val="28"/>
          <w:szCs w:val="28"/>
        </w:rPr>
        <w:t>051 Економіка, спеціалізації “Економічна кібернетика”</w:t>
      </w:r>
    </w:p>
    <w:p w:rsidR="00CC6072" w:rsidRDefault="00CC6072" w:rsidP="00431892">
      <w:pPr>
        <w:spacing w:after="0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(вибіркова дисципліна)</w:t>
      </w: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892" w:rsidRDefault="0043189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892" w:rsidRDefault="0043189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CC6072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427"/>
        <w:gridCol w:w="7941"/>
      </w:tblGrid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2B72B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300968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68">
              <w:rPr>
                <w:rFonts w:ascii="Times New Roman" w:eastAsia="Times New Roman" w:hAnsi="Times New Roman"/>
                <w:sz w:val="24"/>
                <w:szCs w:val="24"/>
              </w:rPr>
              <w:t>м. Львів, пр. Свободи 18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1C564B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економіки підприємства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1218E4" w:rsidP="00121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Галузь знань </w:t>
            </w:r>
            <w:r w:rsidRPr="001218E4">
              <w:rPr>
                <w:rFonts w:ascii="Times New Roman" w:eastAsia="Times New Roman" w:hAnsi="Times New Roman"/>
                <w:sz w:val="24"/>
                <w:szCs w:val="24"/>
              </w:rPr>
              <w:t xml:space="preserve">07 </w:t>
            </w:r>
            <w:r w:rsidRPr="001C564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Управління та </w:t>
            </w:r>
            <w:r w:rsidRPr="001218E4">
              <w:rPr>
                <w:rFonts w:ascii="Times New Roman" w:eastAsia="Times New Roman" w:hAnsi="Times New Roman"/>
                <w:sz w:val="24"/>
                <w:szCs w:val="24"/>
              </w:rPr>
              <w:t>адміністрування</w:t>
            </w:r>
            <w:r w:rsidRPr="001C564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спеціальність </w:t>
            </w:r>
            <w:r w:rsidR="001C564B" w:rsidRPr="001C564B">
              <w:rPr>
                <w:rFonts w:ascii="Times New Roman" w:eastAsia="Times New Roman" w:hAnsi="Times New Roman"/>
                <w:sz w:val="24"/>
                <w:szCs w:val="24"/>
              </w:rPr>
              <w:t>076 «Підприємництво, торгівля та біржова діяльність»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1C564B" w:rsidP="001C5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Швець Анжела Ігорівна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економічних наук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доцент, доцент кафедри економіки підприємства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68" w:rsidRDefault="00300968" w:rsidP="0030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68">
              <w:rPr>
                <w:rFonts w:ascii="Times New Roman" w:eastAsia="Times New Roman" w:hAnsi="Times New Roman"/>
                <w:sz w:val="24"/>
                <w:szCs w:val="24"/>
              </w:rPr>
              <w:t>Angela.Shvets@lnu.edu.ua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A6169" w:rsidRPr="003E6DF4" w:rsidRDefault="00300968" w:rsidP="0030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пр. Свободи 18, к.117</w:t>
            </w:r>
            <w:r w:rsidR="003E6DF4">
              <w:rPr>
                <w:rFonts w:ascii="Times New Roman" w:eastAsia="Times New Roman" w:hAnsi="Times New Roman"/>
                <w:sz w:val="24"/>
                <w:szCs w:val="24"/>
              </w:rPr>
              <w:t>, 239-40-25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 w:rsidR="003009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00968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3339F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9FF">
              <w:rPr>
                <w:rFonts w:ascii="Times New Roman" w:eastAsia="Times New Roman" w:hAnsi="Times New Roman"/>
                <w:sz w:val="24"/>
                <w:szCs w:val="24"/>
              </w:rPr>
              <w:t>http://e-learning.lnu.edu.ua/course/view.php?id=2472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52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524C9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24C93" w:rsidRPr="00524C93">
              <w:rPr>
                <w:rFonts w:ascii="Times New Roman" w:eastAsia="Times New Roman" w:hAnsi="Times New Roman"/>
                <w:sz w:val="24"/>
                <w:szCs w:val="24"/>
              </w:rPr>
              <w:t>формува</w:t>
            </w:r>
            <w:r w:rsidR="00524C93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="00524C93" w:rsidRPr="00524C93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компетенції для ведення бізнесу у країнах Європейського Союзу, здатності фахівців працювати в умовах високої конкуренції та жорстких правил регламентації діяльності в різних </w:t>
            </w:r>
            <w:r w:rsidR="00524C93">
              <w:rPr>
                <w:rFonts w:ascii="Times New Roman" w:eastAsia="Times New Roman" w:hAnsi="Times New Roman"/>
                <w:sz w:val="24"/>
                <w:szCs w:val="24"/>
              </w:rPr>
              <w:t>секторах континентального ринку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750FA5" w:rsidRPr="00750FA5">
              <w:rPr>
                <w:rFonts w:ascii="Times New Roman" w:eastAsia="Times New Roman" w:hAnsi="Times New Roman"/>
                <w:sz w:val="24"/>
                <w:szCs w:val="24"/>
              </w:rPr>
              <w:t>розвитку європейської інтеграції, особливостей роботи інституцій ЄС, формування бюджету ЄС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750FA5" w:rsidRPr="00750FA5">
              <w:rPr>
                <w:rFonts w:ascii="Times New Roman" w:eastAsia="Times New Roman" w:hAnsi="Times New Roman"/>
                <w:sz w:val="24"/>
                <w:szCs w:val="24"/>
              </w:rPr>
              <w:t xml:space="preserve">спільної аграрної, регіональної, соціальної, монетарної, конкурентної, промислової, технологічної, торговельної, </w:t>
            </w:r>
            <w:proofErr w:type="spellStart"/>
            <w:r w:rsidR="00750FA5" w:rsidRPr="00750FA5">
              <w:rPr>
                <w:rFonts w:ascii="Times New Roman" w:eastAsia="Times New Roman" w:hAnsi="Times New Roman"/>
                <w:sz w:val="24"/>
                <w:szCs w:val="24"/>
              </w:rPr>
              <w:t>безпекової</w:t>
            </w:r>
            <w:proofErr w:type="spellEnd"/>
            <w:r w:rsidR="00750FA5" w:rsidRPr="00750FA5">
              <w:rPr>
                <w:rFonts w:ascii="Times New Roman" w:eastAsia="Times New Roman" w:hAnsi="Times New Roman"/>
                <w:sz w:val="24"/>
                <w:szCs w:val="24"/>
              </w:rPr>
              <w:t xml:space="preserve"> політик, а також спільної зовнішньої політики та стратегій розвитку ЄС, які разом узяті й визначають ум</w:t>
            </w:r>
            <w:r w:rsidR="00750FA5">
              <w:rPr>
                <w:rFonts w:ascii="Times New Roman" w:eastAsia="Times New Roman" w:hAnsi="Times New Roman"/>
                <w:sz w:val="24"/>
                <w:szCs w:val="24"/>
              </w:rPr>
              <w:t>ови ведення бізнесу в Євросоюзі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E64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proofErr w:type="spellStart"/>
            <w:r w:rsidR="002B72B9">
              <w:rPr>
                <w:rFonts w:ascii="Times New Roman" w:eastAsia="Times New Roman" w:hAnsi="Times New Roman"/>
                <w:sz w:val="24"/>
                <w:szCs w:val="24"/>
              </w:rPr>
              <w:t>Мерчендайзинг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вибірковою дисципліною з спеціальності </w:t>
            </w:r>
            <w:r w:rsidR="00E64C4F" w:rsidRPr="00E64C4F">
              <w:rPr>
                <w:rFonts w:ascii="Times New Roman" w:eastAsia="Times New Roman" w:hAnsi="Times New Roman"/>
                <w:sz w:val="24"/>
                <w:szCs w:val="24"/>
              </w:rPr>
              <w:t>076 «Підприємництво, торгівля та біржова діяльність»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E64C4F" w:rsidRPr="00E64C4F">
              <w:rPr>
                <w:rFonts w:ascii="Times New Roman" w:eastAsia="Times New Roman" w:hAnsi="Times New Roman"/>
                <w:sz w:val="24"/>
                <w:szCs w:val="24"/>
              </w:rPr>
              <w:t>«Підприємництво, торгівля та біржова діяльність»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E64C4F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V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E64C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8E" w:rsidRDefault="00384C8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вибіркової дисципліни «</w:t>
            </w:r>
            <w:proofErr w:type="spellStart"/>
            <w:r w:rsidR="002B72B9">
              <w:rPr>
                <w:rFonts w:ascii="Times New Roman" w:eastAsia="Times New Roman" w:hAnsi="Times New Roman"/>
                <w:sz w:val="24"/>
                <w:szCs w:val="24"/>
              </w:rPr>
              <w:t>Мерчендайзинг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ознайомлення студентів із завданнями </w:t>
            </w:r>
            <w:r w:rsidRPr="00384C80">
              <w:rPr>
                <w:rFonts w:ascii="Times New Roman" w:eastAsia="Times New Roman" w:hAnsi="Times New Roman"/>
                <w:sz w:val="24"/>
                <w:szCs w:val="24"/>
              </w:rPr>
              <w:t>надання знань про теоретичні і практичні основи ведення європейського бізнесу, сучасні норми та правила його здійснення, вмінь та навичок орієнтування у сучасному  стані  та  тенденціях  розвитку європейського бізнесу.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A6169" w:rsidRPr="006A6169" w:rsidRDefault="00754C8E" w:rsidP="00E80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Завданням дисципліни є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 оволодіння сучасними підходами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ведення бізнесу в ЄС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інструментами для їх вирішення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 саме: </w:t>
            </w:r>
            <w:r w:rsidRPr="00754C8E">
              <w:rPr>
                <w:rFonts w:ascii="Times New Roman" w:eastAsia="Times New Roman" w:hAnsi="Times New Roman"/>
                <w:sz w:val="24"/>
                <w:szCs w:val="24"/>
              </w:rPr>
              <w:t>комплексного бачення про структуру та принципи функціонування європейського бізнесу; вивчення системи регулювання 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вропейського бізнесу та моделей </w:t>
            </w:r>
            <w:r w:rsidRPr="00754C8E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r w:rsidRPr="00754C8E">
              <w:rPr>
                <w:rFonts w:ascii="Times New Roman" w:eastAsia="Times New Roman" w:hAnsi="Times New Roman"/>
                <w:sz w:val="24"/>
                <w:szCs w:val="24"/>
              </w:rPr>
              <w:tab/>
              <w:t>взаємод</w:t>
            </w:r>
            <w:r w:rsidR="004E3F4D">
              <w:rPr>
                <w:rFonts w:ascii="Times New Roman" w:eastAsia="Times New Roman" w:hAnsi="Times New Roman"/>
                <w:sz w:val="24"/>
                <w:szCs w:val="24"/>
              </w:rPr>
              <w:t xml:space="preserve">ії з державами Європи; вивчення особливостей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функціо</w:t>
            </w:r>
            <w:r w:rsidR="004E3F4D">
              <w:rPr>
                <w:rFonts w:ascii="Times New Roman" w:eastAsia="Times New Roman" w:hAnsi="Times New Roman"/>
                <w:sz w:val="24"/>
                <w:szCs w:val="24"/>
              </w:rPr>
              <w:t xml:space="preserve">нування європейського бізнесу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різних секторах економіки; </w:t>
            </w:r>
            <w:r w:rsidRPr="00754C8E">
              <w:rPr>
                <w:rFonts w:ascii="Times New Roman" w:eastAsia="Times New Roman" w:hAnsi="Times New Roman"/>
                <w:sz w:val="24"/>
                <w:szCs w:val="24"/>
              </w:rPr>
              <w:t>надання знань про професійну культуру бізнесової діяльності в країнах Європи; надання знань у сфері аналізу перспектив та оцінки наслідків ведення європейського бізнесу.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5" w:rsidRDefault="006A6169" w:rsidP="008F2B6B">
            <w:pPr>
              <w:shd w:val="clear" w:color="auto" w:fill="FFFFFF"/>
              <w:spacing w:after="0" w:line="240" w:lineRule="auto"/>
              <w:ind w:left="-1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Основна література: </w:t>
            </w:r>
          </w:p>
          <w:p w:rsidR="00DE2325" w:rsidRDefault="00DE2325" w:rsidP="00DE232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Андросова</w:t>
            </w:r>
            <w:proofErr w:type="spellEnd"/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Т.В. Європейська інтеграція: </w:t>
            </w:r>
            <w:proofErr w:type="spellStart"/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.-метод. посібник / </w:t>
            </w:r>
            <w:r w:rsidR="002445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Т.В. </w:t>
            </w:r>
            <w:proofErr w:type="spellStart"/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Андросова</w:t>
            </w:r>
            <w:proofErr w:type="spellEnd"/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А.В. </w:t>
            </w:r>
            <w:proofErr w:type="spellStart"/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Янчев</w:t>
            </w:r>
            <w:proofErr w:type="spellEnd"/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В.О. Козуб. – Х.: ХДУХТ, 2012. – 202 с.</w:t>
            </w:r>
          </w:p>
          <w:p w:rsidR="00D66207" w:rsidRDefault="00D66207" w:rsidP="00DE232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31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"Блакитна настанова" із  впровадження  правил  Європейського  Союзу  щодо  продукції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переклад 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‘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Blue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Guide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’ 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implementation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EU 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product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rules</w:t>
            </w:r>
            <w:proofErr w:type="spellEnd"/>
            <w:r w:rsidRPr="00350F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/ під ред. Д. Луценка. </w:t>
            </w:r>
            <w:r w:rsidR="005937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 К: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Європейська </w:t>
            </w:r>
            <w:r w:rsidR="005937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Комісія,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2014</w:t>
            </w:r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153 с.</w:t>
            </w:r>
          </w:p>
          <w:p w:rsidR="00A02036" w:rsidRDefault="00A02036" w:rsidP="00DE232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Європейський Союз: історія і засади функціонування: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/ В.В. Копійка, Т.І. Шинкаренко; за ред. Л.В.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Губерського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– 2-ге вид.,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виправл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і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доповн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К.: Знання, 2012. – 759 с.</w:t>
            </w:r>
          </w:p>
          <w:p w:rsidR="00D66207" w:rsidRDefault="00D66207" w:rsidP="00D66207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188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Поглиблення відносин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8188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між ЄС та Україною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48188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Що, чому і як?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авторів під ред. М. Емерсона і В.</w:t>
            </w:r>
            <w:r w:rsidRPr="00F471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Мовчан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– К: </w:t>
            </w:r>
            <w:r w:rsidRPr="00F471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Центр європейських полі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тичних досліджень, </w:t>
            </w:r>
            <w:r w:rsidRPr="00F471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Інститут економічних досліджень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політичних консультацій, 2016</w:t>
            </w:r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255 с.</w:t>
            </w:r>
          </w:p>
          <w:p w:rsidR="00593776" w:rsidRPr="00D66207" w:rsidRDefault="00593776" w:rsidP="00D66207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Україна в Європі і світі: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/ Володимир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Галик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; [відп. за випуск Л.В. Тимошенко].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</w:t>
            </w: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К.: Знання, 2013. - 364 с.</w:t>
            </w:r>
          </w:p>
          <w:p w:rsidR="00A02036" w:rsidRDefault="00A0203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07DE8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593776" w:rsidRDefault="0059377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Алгоритм експорту. Що потрібно знати українському експортеру.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Alexandrov &amp; Partners, 2016</w:t>
            </w:r>
            <w:r w:rsidRPr="00DE23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69 с.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Білорус О.Г. Глобальна інтеграція і тенденції кризової еволюції світу / О.Г. Білорус // Економічний часопис – ХХІ. – 2010. – № № 7/8. – С. 3 – 9.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Бондаренко Н.В. Роль державного сектора економіки в розвитку держави в умовах глобалізації / Н.В. Бондаренко // Економіка  і держава. – 2010. – № 5. – С. 60 – 63.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Будкін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 Економічна глобалізація: витоки, тенденції та протиріччя</w:t>
            </w:r>
          </w:p>
          <w:p w:rsidR="00A02036" w:rsidRPr="00A02036" w:rsidRDefault="00A02036" w:rsidP="00A02036">
            <w:pPr>
              <w:pStyle w:val="a3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/ В.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Будкін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Економіка України. – 2010. – № 11. – С. 87 – 89.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Булана  О. Державна підтримка  підприємств реального сектора економіки в Україні в умовах її інтеграції у СОТ і ЄС / О. Булана // Економіка України. – 2011. – № 1. – С. 68 – 78.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Гайдук В.А. Вплив економічної глобалізації на модифікацію чинників конкурентоспроможності національної економіки / В.А. Гайдук // Економіка і держава. – 2010. – № 8. – С. 7 – 9.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Головня О.М. Вплив глобалізаційних процесів на соціально- економічне зростання України: оцінка загроз і можливостей / О.М. Головня // Економіка і держава. – 2010. – № 6. – С. 6 – 9.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Геєць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 Конфігурація геополітичної карти світу та її проблемність / В.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Геєць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Економіка України. – 2011. – № 1. – С. 4 – 15.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Григор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О.О. Оцінка рівня глобалізації та аналіз рівня відкритості України світовому ринку / О.О.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Григор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Економіка і держава. – 2010.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10. – С. 104 – 106.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Дергачова В.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Глоблізація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інтернаціоналізація світогосподарських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зв’язків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основні виклики і перспективи розвитку / В. Дергачова // Економіка України. – 2010. – № 3. – С. 91 – 95.</w:t>
            </w:r>
          </w:p>
          <w:p w:rsidR="00A02036" w:rsidRPr="00A02036" w:rsidRDefault="00A02036" w:rsidP="00A0203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Запухляк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В.З. Інвестиційна складова економічного розвитку країн в умовах глобалізації / В.З. </w:t>
            </w:r>
            <w:proofErr w:type="spellStart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Запухляк</w:t>
            </w:r>
            <w:proofErr w:type="spellEnd"/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Інвестиції: практика та досвід. – 2011. – № 19. – С. 13 – 15.</w:t>
            </w:r>
          </w:p>
          <w:p w:rsidR="00A02036" w:rsidRPr="00A02036" w:rsidRDefault="00A02036" w:rsidP="00C51928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Бак Г.О. Лідерство транснаціональних корпорацій у світовому створенні інновацій / Г.О. Бак // Економічний часопис – ХХІ. – 2012.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3/4. – С. 16 – 19.</w:t>
            </w:r>
          </w:p>
          <w:p w:rsidR="00A02036" w:rsidRPr="00A02036" w:rsidRDefault="00A02036" w:rsidP="00116BCA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Фролова Т.О. Інвестиційний фактор глобального лідерства / Т.О. Фролова// Інвестиції: критика та досвід. – 2012. – № 8. – С. 8 – 13.</w:t>
            </w:r>
          </w:p>
          <w:p w:rsidR="007858C3" w:rsidRPr="00A02036" w:rsidRDefault="00A02036" w:rsidP="001517F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020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Яценко О.М. Методологічні засади глобалізації, її фактори і детермінанти / О.М. Яценко // Економіка АПК. – 2011. – № 11. – С. 144– 152.</w:t>
            </w:r>
          </w:p>
          <w:p w:rsidR="00A02036" w:rsidRDefault="00A0203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6A6169" w:rsidRDefault="00907DE8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Інформаційні ресурси з інтернет-джерел:</w:t>
            </w:r>
          </w:p>
          <w:p w:rsidR="00F954B4" w:rsidRDefault="00F954B4" w:rsidP="00CE511F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AA1ACD"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>Державний</w:t>
            </w:r>
            <w:proofErr w:type="spellEnd"/>
            <w:r w:rsidRPr="00AA1ACD"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AA1ACD"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>комітет</w:t>
            </w:r>
            <w:proofErr w:type="spellEnd"/>
            <w:r w:rsidRPr="00AA1ACD"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 xml:space="preserve"> статистики </w:t>
            </w:r>
            <w:proofErr w:type="spellStart"/>
            <w:r w:rsidRPr="00AA1ACD"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>Укр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>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 xml:space="preserve"> /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 xml:space="preserve"> ресурс]. – Р</w:t>
            </w:r>
            <w:r w:rsidRPr="00AA1ACD">
              <w:rPr>
                <w:rFonts w:ascii="Times New Roman" w:eastAsia="Times New Roman" w:hAnsi="Times New Roman"/>
                <w:sz w:val="24"/>
                <w:szCs w:val="24"/>
                <w:lang w:val="ru-RU" w:eastAsia="uk-UA" w:bidi="uk-UA"/>
              </w:rPr>
              <w:t xml:space="preserve">ежим доступу: </w:t>
            </w:r>
            <w:hyperlink r:id="rId5">
              <w:r w:rsidRPr="00AA1ACD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ru-RU" w:eastAsia="uk-UA" w:bidi="uk-UA"/>
                </w:rPr>
                <w:t>http://www.ukrstat.gov.ua/</w:t>
              </w:r>
            </w:hyperlink>
          </w:p>
          <w:p w:rsidR="002C1563" w:rsidRPr="002C1563" w:rsidRDefault="00A737EE" w:rsidP="002C156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68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A737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Угода про Асоціацію між ЄС та Україною</w:t>
            </w:r>
            <w:r w:rsidRPr="00A737EE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 xml:space="preserve"> </w:t>
            </w:r>
            <w:r w:rsidRPr="00A737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"Короткий посібник з Угоди про Асоціацію" </w:t>
            </w:r>
            <w:r w:rsidRPr="00A737E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[</w:t>
            </w:r>
            <w:r w:rsidRPr="00A737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Електронний ресурс</w:t>
            </w:r>
            <w:r w:rsidRPr="00A737E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]</w:t>
            </w:r>
            <w:r w:rsidR="002C15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2C156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="002C156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Pежим</w:t>
            </w:r>
            <w:proofErr w:type="spellEnd"/>
            <w:r w:rsidR="002C156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ab/>
              <w:t>доступу</w:t>
            </w:r>
            <w:r w:rsidRPr="00A737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A737E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http://eeas.europa.eu/</w:t>
            </w:r>
            <w:r w:rsidRPr="002C156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archives/delegations/ukraine/documents/association</w:t>
            </w:r>
          </w:p>
          <w:p w:rsidR="006A6169" w:rsidRDefault="00A737EE" w:rsidP="00A737EE">
            <w:pPr>
              <w:shd w:val="clear" w:color="auto" w:fill="FFFFFF"/>
              <w:spacing w:after="0" w:line="240" w:lineRule="auto"/>
              <w:ind w:left="68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A737E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_</w:t>
            </w:r>
            <w:proofErr w:type="spellStart"/>
            <w:r w:rsidRPr="00A737E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agreement</w:t>
            </w:r>
            <w:proofErr w:type="spellEnd"/>
            <w:r w:rsidRPr="00A737E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/guide.pdf</w:t>
            </w:r>
          </w:p>
          <w:p w:rsidR="00266F7F" w:rsidRDefault="008A6F8A" w:rsidP="00266F7F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68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Угода про 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асоціацію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між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Україною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з 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однієї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сторони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та 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Європейським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Союзом і 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державами-членам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и,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іншої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сторони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Eлектронний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ресурс]</w:t>
            </w:r>
            <w:r w:rsidR="002C15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266F7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="00266F7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Pежим</w:t>
            </w:r>
            <w:proofErr w:type="spellEnd"/>
            <w:r w:rsidR="00266F7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2C156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доступу</w:t>
            </w:r>
            <w:r w:rsidR="00266F7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: </w:t>
            </w:r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http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://comeuroint.rada.</w:t>
            </w:r>
            <w:r w:rsidRPr="00266F7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gov.</w:t>
            </w:r>
          </w:p>
          <w:p w:rsidR="00266F7F" w:rsidRPr="00F954B4" w:rsidRDefault="008A6F8A" w:rsidP="00F954B4">
            <w:pPr>
              <w:pStyle w:val="a3"/>
              <w:shd w:val="clear" w:color="auto" w:fill="FFFFFF"/>
              <w:spacing w:after="0" w:line="240" w:lineRule="auto"/>
              <w:ind w:left="68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266F7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ua</w:t>
            </w:r>
            <w:proofErr w:type="spellEnd"/>
            <w:r w:rsidRPr="00266F7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komevroint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doccatalog</w:t>
            </w:r>
            <w:proofErr w:type="spell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/ </w:t>
            </w:r>
            <w:proofErr w:type="spellStart"/>
            <w:proofErr w:type="gramStart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document?id</w:t>
            </w:r>
            <w:proofErr w:type="spellEnd"/>
            <w:proofErr w:type="gramEnd"/>
            <w:r w:rsidRPr="008A6F8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=56219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годин аудиторних занять. З них ______ годин лекцій, ______ годин лабораторних робіт/практичних занять та __________ годин самостійної роботи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Pr="006A6169" w:rsidRDefault="006A6169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Знати </w:t>
            </w:r>
          </w:p>
          <w:p w:rsidR="006A6169" w:rsidRPr="006A6169" w:rsidRDefault="006A6169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Вміти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Конкретизуються відповідно до спеціальності і випливають із поставленої мети. Зазначається перелік знань, умінь та навиків, необхідних для освоєння дисципліни, а також перелік конкретних нових знань, умінь та навиків, які отримує студент після її освоєння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45241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45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24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4524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="006D74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D74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69">
              <w:rPr>
                <w:rFonts w:ascii="Times New Roman" w:hAnsi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A047EF" w:rsidP="00285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алік </w:t>
            </w:r>
            <w:r w:rsidR="00285D16">
              <w:rPr>
                <w:rFonts w:ascii="Times New Roman" w:eastAsia="Times New Roman" w:hAnsi="Times New Roman"/>
                <w:sz w:val="24"/>
                <w:szCs w:val="24"/>
              </w:rPr>
              <w:t xml:space="preserve">за результатами роботи студента протягом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комбінована форма контролю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__________________ дисциплін, достатніх для сприйняття категоріального апарату __________, розуміння джерел _______________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*Завдання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тьютора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Тьюторський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загально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вживаних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DA31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Наводиться перелік питань та завдань для проведення підсумкової оцінки знань. Також можна надати посилання на веб-сторінку де розміщені вказані матеріали.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6A6169" w:rsidRPr="00E44CA3" w:rsidRDefault="006A6169" w:rsidP="006A6169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color w:val="000000"/>
          <w:sz w:val="28"/>
          <w:szCs w:val="28"/>
        </w:rPr>
        <w:t>*ПРИМІТКА</w:t>
      </w: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229"/>
        <w:gridCol w:w="2459"/>
        <w:gridCol w:w="2268"/>
        <w:gridCol w:w="1276"/>
        <w:gridCol w:w="2126"/>
      </w:tblGrid>
      <w:tr w:rsidR="006A6169" w:rsidRPr="006A6169" w:rsidTr="00BF068F">
        <w:tc>
          <w:tcPr>
            <w:tcW w:w="1206" w:type="dxa"/>
            <w:shd w:val="clear" w:color="auto" w:fill="auto"/>
          </w:tcPr>
          <w:p w:rsidR="006A6169" w:rsidRPr="006A6169" w:rsidRDefault="00B75914" w:rsidP="00B7591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29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68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.***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Ресурси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інтернеті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6A6169" w:rsidRPr="006A6169" w:rsidTr="00BF068F">
        <w:tc>
          <w:tcPr>
            <w:tcW w:w="1206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957"/>
    <w:multiLevelType w:val="hybridMultilevel"/>
    <w:tmpl w:val="CA5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6AEC"/>
    <w:multiLevelType w:val="hybridMultilevel"/>
    <w:tmpl w:val="527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4B76"/>
    <w:multiLevelType w:val="hybridMultilevel"/>
    <w:tmpl w:val="E818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D40FE"/>
    <w:rsid w:val="0010499E"/>
    <w:rsid w:val="001218E4"/>
    <w:rsid w:val="001C564B"/>
    <w:rsid w:val="001D353D"/>
    <w:rsid w:val="001F6C8F"/>
    <w:rsid w:val="00244589"/>
    <w:rsid w:val="00266F7F"/>
    <w:rsid w:val="00280411"/>
    <w:rsid w:val="00285D16"/>
    <w:rsid w:val="002B72B9"/>
    <w:rsid w:val="002C1563"/>
    <w:rsid w:val="00300968"/>
    <w:rsid w:val="003339FF"/>
    <w:rsid w:val="003414E4"/>
    <w:rsid w:val="00350F95"/>
    <w:rsid w:val="00384C80"/>
    <w:rsid w:val="003A5DE5"/>
    <w:rsid w:val="003E6DF4"/>
    <w:rsid w:val="00410883"/>
    <w:rsid w:val="00431892"/>
    <w:rsid w:val="0045241F"/>
    <w:rsid w:val="00481881"/>
    <w:rsid w:val="00484ABE"/>
    <w:rsid w:val="004E3F4D"/>
    <w:rsid w:val="00524C93"/>
    <w:rsid w:val="00593776"/>
    <w:rsid w:val="005B0D6A"/>
    <w:rsid w:val="00647C5F"/>
    <w:rsid w:val="006A6169"/>
    <w:rsid w:val="006D70D9"/>
    <w:rsid w:val="006D745F"/>
    <w:rsid w:val="007058D5"/>
    <w:rsid w:val="00732D8C"/>
    <w:rsid w:val="00750FA5"/>
    <w:rsid w:val="00754C8E"/>
    <w:rsid w:val="007858C3"/>
    <w:rsid w:val="007A5166"/>
    <w:rsid w:val="007D1F94"/>
    <w:rsid w:val="00895C3E"/>
    <w:rsid w:val="008A6F8A"/>
    <w:rsid w:val="008F2B6B"/>
    <w:rsid w:val="00907DE8"/>
    <w:rsid w:val="00931578"/>
    <w:rsid w:val="0094126A"/>
    <w:rsid w:val="009664A9"/>
    <w:rsid w:val="00973DFC"/>
    <w:rsid w:val="009B3187"/>
    <w:rsid w:val="009D72AE"/>
    <w:rsid w:val="009F5DC2"/>
    <w:rsid w:val="00A02036"/>
    <w:rsid w:val="00A047EF"/>
    <w:rsid w:val="00A737EE"/>
    <w:rsid w:val="00AA1ACD"/>
    <w:rsid w:val="00AE087B"/>
    <w:rsid w:val="00B75914"/>
    <w:rsid w:val="00BF1A53"/>
    <w:rsid w:val="00BF361B"/>
    <w:rsid w:val="00C1540C"/>
    <w:rsid w:val="00C45E35"/>
    <w:rsid w:val="00C63BB5"/>
    <w:rsid w:val="00C7035F"/>
    <w:rsid w:val="00CC6072"/>
    <w:rsid w:val="00CE03B1"/>
    <w:rsid w:val="00CE511F"/>
    <w:rsid w:val="00D63B44"/>
    <w:rsid w:val="00D66207"/>
    <w:rsid w:val="00D963D0"/>
    <w:rsid w:val="00DA31AD"/>
    <w:rsid w:val="00DE2325"/>
    <w:rsid w:val="00E31F3E"/>
    <w:rsid w:val="00E43E38"/>
    <w:rsid w:val="00E44CA3"/>
    <w:rsid w:val="00E64C4F"/>
    <w:rsid w:val="00E800EC"/>
    <w:rsid w:val="00EB519C"/>
    <w:rsid w:val="00EF22BC"/>
    <w:rsid w:val="00F47120"/>
    <w:rsid w:val="00F954B4"/>
    <w:rsid w:val="00FD3FE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10678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Windows User</cp:lastModifiedBy>
  <cp:revision>2</cp:revision>
  <dcterms:created xsi:type="dcterms:W3CDTF">2022-06-21T09:21:00Z</dcterms:created>
  <dcterms:modified xsi:type="dcterms:W3CDTF">2022-06-21T09:21:00Z</dcterms:modified>
</cp:coreProperties>
</file>