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</w:pPr>
      <w:bookmarkStart w:id="0" w:name="_GoBack"/>
      <w:r w:rsidRPr="001222CA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  <w:t>Міністерство освіти і науки України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Економічний факультет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Кафедра соціального забезпечення та управління персоналом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Затверджено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на засіданні кафедри соціального забезпечення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управління персоналом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економічного факультету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Львівського національного університету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імені Івана Франка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(протокол №_____від_________2022 р.)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1222CA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в.о.з</w:t>
      </w:r>
      <w:r w:rsidR="008C354E"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авідувач</w:t>
      </w:r>
      <w:r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а</w:t>
      </w:r>
      <w:proofErr w:type="spellEnd"/>
      <w:r w:rsidR="008C354E" w:rsidRPr="001222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кафедри______________________</w:t>
      </w:r>
    </w:p>
    <w:p w:rsidR="008C354E" w:rsidRPr="001222CA" w:rsidRDefault="008C354E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proofErr w:type="spellStart"/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Силабус</w:t>
      </w:r>
      <w:proofErr w:type="spellEnd"/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з навчальної дисципліни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«Рекламно-інформаційні технології у соціальному забезпеченні»,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що викладається в межах ОПП  «Соціальне забезпечення»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першого (бакалаврського) рівня вищої освіти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для здобувачів спеціальності «Соціальне забезпечення»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Львів</w:t>
      </w: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8C354E" w:rsidRPr="001222CA" w:rsidRDefault="008C354E" w:rsidP="008C354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351"/>
        <w:gridCol w:w="7992"/>
      </w:tblGrid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Рекламно-інформаційні технології у соціальному забезпеченні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1222CA" w:rsidP="0012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м. Львів, проспект Свободи, 18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 – Соціальна робота; 232 – Соціальне забезпечення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Кліпкова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Оксана Ігорівна, кандидат економічних наук, доцент кафедри соціального забезпечення та управління персоналом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4C19B7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hyperlink r:id="rId7" w:history="1"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oksana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klipkova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@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lnu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edu</w:t>
              </w:r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C354E" w:rsidRPr="001222C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  <w:r w:rsidR="008C354E"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12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Консультації проводяться особисто у приміщенні кафедри  відповідно до графіку, затвердженого кафедрою на поточний семестр; електронною поштою; із використанням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Фейсбук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Месенджера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, Телеграму тощо 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8C354E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D0D0D" w:themeColor="text1" w:themeTint="F2"/>
                <w:lang w:val="uk-UA"/>
              </w:rPr>
            </w:pPr>
            <w:r w:rsidRPr="001222CA">
              <w:rPr>
                <w:color w:val="0D0D0D" w:themeColor="text1" w:themeTint="F2"/>
                <w:lang w:val="uk-UA"/>
              </w:rPr>
              <w:t xml:space="preserve">Курс розроблено таким чином, щоб надати учасникам необхідні знання та вміння </w:t>
            </w:r>
            <w:r w:rsidRPr="001222CA">
              <w:rPr>
                <w:color w:val="0D0D0D" w:themeColor="text1" w:themeTint="F2"/>
                <w:lang w:val="uk-UA" w:eastAsia="uk-UA"/>
              </w:rPr>
              <w:t xml:space="preserve">про </w:t>
            </w:r>
            <w:r w:rsidRPr="001222CA">
              <w:rPr>
                <w:color w:val="0D0D0D" w:themeColor="text1" w:themeTint="F2"/>
                <w:lang w:val="uk-UA"/>
              </w:rPr>
              <w:t xml:space="preserve">види і типи рекламної діяльності у ЗМІ, </w:t>
            </w:r>
            <w:proofErr w:type="spellStart"/>
            <w:r w:rsidRPr="001222CA">
              <w:rPr>
                <w:color w:val="0D0D0D" w:themeColor="text1" w:themeTint="F2"/>
                <w:lang w:val="uk-UA"/>
              </w:rPr>
              <w:t>паблік</w:t>
            </w:r>
            <w:proofErr w:type="spellEnd"/>
            <w:r w:rsidRPr="001222CA">
              <w:rPr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  <w:lang w:val="uk-UA"/>
              </w:rPr>
              <w:t>рілейшнз</w:t>
            </w:r>
            <w:proofErr w:type="spellEnd"/>
            <w:r w:rsidRPr="001222CA">
              <w:rPr>
                <w:color w:val="0D0D0D" w:themeColor="text1" w:themeTint="F2"/>
                <w:lang w:val="uk-UA"/>
              </w:rPr>
              <w:t xml:space="preserve"> як основа налагодження і підтримки зв'язку з громадськістю на основі надання правдивої інформації та повної поінформованості, види і типи </w:t>
            </w:r>
            <w:proofErr w:type="spellStart"/>
            <w:r w:rsidRPr="001222CA">
              <w:rPr>
                <w:color w:val="0D0D0D" w:themeColor="text1" w:themeTint="F2"/>
                <w:lang w:val="uk-UA"/>
              </w:rPr>
              <w:t>зв'язків</w:t>
            </w:r>
            <w:proofErr w:type="spellEnd"/>
            <w:r w:rsidRPr="001222CA">
              <w:rPr>
                <w:color w:val="0D0D0D" w:themeColor="text1" w:themeTint="F2"/>
                <w:lang w:val="uk-UA"/>
              </w:rPr>
              <w:t xml:space="preserve"> із громадськістю, українське та зарубіжне законодавче забезпечення; специфіку роботи відділів </w:t>
            </w:r>
            <w:proofErr w:type="spellStart"/>
            <w:r w:rsidRPr="001222CA">
              <w:rPr>
                <w:color w:val="0D0D0D" w:themeColor="text1" w:themeTint="F2"/>
                <w:lang w:val="uk-UA"/>
              </w:rPr>
              <w:t>зв'язків</w:t>
            </w:r>
            <w:proofErr w:type="spellEnd"/>
            <w:r w:rsidRPr="001222CA">
              <w:rPr>
                <w:color w:val="0D0D0D" w:themeColor="text1" w:themeTint="F2"/>
                <w:lang w:val="uk-UA"/>
              </w:rPr>
              <w:t xml:space="preserve"> із громадськістю у сфері соціального забезпечення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8C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Дисципліна «Рекламно-інформаційні технології у соціальному забезпеченні» є обов'язковою дисципліною з спеціальності 232 – «Соціальне забезпечення» для освітньої-професійної програми Бакалавра, яка викладається в 2 (другому) семестрі в обсязі 4 (чотирьох) кредитів (за Європейською Кредитно-Трансферною Системою ECTS).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8C354E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D0D0D" w:themeColor="text1" w:themeTint="F2"/>
                <w:lang w:val="uk-UA"/>
              </w:rPr>
            </w:pPr>
            <w:r w:rsidRPr="001222CA">
              <w:rPr>
                <w:color w:val="0D0D0D" w:themeColor="text1" w:themeTint="F2"/>
                <w:lang w:val="uk-UA"/>
              </w:rPr>
              <w:t xml:space="preserve">Метою вивчення дисципліни є формування сприйняття прикладній та спеціалізованій підготовці фахівців соціального забезпечення із знанням теоретичних і практичних параметрів як соціальної реклами, так і </w:t>
            </w:r>
            <w:proofErr w:type="spellStart"/>
            <w:r w:rsidRPr="001222CA">
              <w:rPr>
                <w:color w:val="0D0D0D" w:themeColor="text1" w:themeTint="F2"/>
                <w:lang w:val="uk-UA"/>
              </w:rPr>
              <w:t>паблік</w:t>
            </w:r>
            <w:proofErr w:type="spellEnd"/>
            <w:r w:rsidRPr="001222CA">
              <w:rPr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  <w:lang w:val="uk-UA"/>
              </w:rPr>
              <w:t>рілейшнз</w:t>
            </w:r>
            <w:proofErr w:type="spellEnd"/>
            <w:r w:rsidRPr="001222CA">
              <w:rPr>
                <w:color w:val="0D0D0D" w:themeColor="text1" w:themeTint="F2"/>
                <w:lang w:val="uk-UA"/>
              </w:rPr>
              <w:t xml:space="preserve"> (</w:t>
            </w:r>
            <w:r w:rsidRPr="001222CA">
              <w:rPr>
                <w:color w:val="0D0D0D" w:themeColor="text1" w:themeTint="F2"/>
              </w:rPr>
              <w:t>PR</w:t>
            </w:r>
            <w:r w:rsidRPr="001222CA">
              <w:rPr>
                <w:color w:val="0D0D0D" w:themeColor="text1" w:themeTint="F2"/>
                <w:lang w:val="uk-UA"/>
              </w:rPr>
              <w:t>) - як важливих компонентів та параметрів соціально-комунікативної дійсності.</w:t>
            </w:r>
          </w:p>
        </w:tc>
      </w:tr>
      <w:tr w:rsidR="001222CA" w:rsidRPr="001222CA" w:rsidTr="00557096">
        <w:trPr>
          <w:trHeight w:val="395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Джавадя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О-М. 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Соціальна реклама та ментальне здоров'я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Соціальна</w:t>
            </w:r>
            <w:proofErr w:type="spellEnd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робота та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соціальна</w:t>
            </w:r>
            <w:proofErr w:type="spellEnd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2 (7) (2021): 24-35.</w:t>
            </w:r>
          </w:p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Дідашко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В. Ефективність соціальної реклами в сучасному інформаційному суспільстві. Освіта і наука.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1 (2021).</w:t>
            </w:r>
          </w:p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Занакоєва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Н. Д., Радченко Я. Соціальна реклама проти насильства над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дільми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: закордонні та українські тенденції: матеріали ІІ Всеукраїнської науково-практичної конференції (31 травня 2021 року) Запоріжжя: ЗНУ, 2021. 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C. 91-99. URL: </w:t>
            </w:r>
          </w:p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Клопова, А. Г. Гендерний аспект становлення соціальної реклами в Україні.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Світові тенденції у сфері реклами і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зв’язків</w:t>
            </w:r>
            <w:proofErr w:type="spellEnd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з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гром</w:t>
            </w:r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адськістю</w:t>
            </w:r>
            <w:proofErr w:type="spellEnd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222C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перспективи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(2021): 35.</w:t>
            </w:r>
          </w:p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Клос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Л.,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Джавадян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О.-М. Соціальна реклама як приклад 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c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учасної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практики соціальної роботи в Україні //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. 2021.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. 8,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 xml:space="preserve">. 2. 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</w:t>
            </w: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. 190-203.</w:t>
            </w:r>
          </w:p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Легкий О. А. Організація відділу маркетингу в умовах четвертої промислової революції  / Електронне наукове фахове видання Мукачівського державного університету «Економіка та суспільство». 2018.  № 14. </w:t>
            </w:r>
          </w:p>
          <w:p w:rsidR="008C354E" w:rsidRPr="001222CA" w:rsidRDefault="008C354E" w:rsidP="008C354E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Легкий О.А.,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Сохацька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О.М. Ефективність цифрових маркетингових комунікацій: від постановки мети до оцінювання результату. Маркетинг і цифрові технології. 2017. № 2. С. 4-31.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120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48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годин аудиторних занять. З них 32 годин лекцій, 16 години практичних занять та 72 години самостійної роботи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8C354E">
            <w:pPr>
              <w:tabs>
                <w:tab w:val="left" w:pos="173"/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Після завершення цього курсу студент буде :</w:t>
            </w:r>
          </w:p>
          <w:p w:rsidR="008C354E" w:rsidRPr="001222CA" w:rsidRDefault="008C354E" w:rsidP="008C354E">
            <w:pPr>
              <w:tabs>
                <w:tab w:val="left" w:pos="173"/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знати: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суть та принципи рекламної діяльності у сфері соціального забезпечення;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суть та принципи діяльності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паблік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рілейшнз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 роботі соціальної працівника (PR);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міжнародні й вітчизняні правові акти (Закон «Про рекламу», міжнародні кодекси PR);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права та обов'язки рекламістів і фахівців у зв'язках із громадськістю;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особливості, методи і засоби роботи із громадськістю;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різновиди рекламних та PR –заходів у сфері соціального забезпечення;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види інформації;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канали поширення соціальної інформації; 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0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етичні норми і професійні стандарти роботи журналістів, рекламних фахівців і працівників соціальної сфери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паблік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рілейшнз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C354E" w:rsidRPr="001222CA" w:rsidRDefault="008C354E" w:rsidP="008C354E">
            <w:pPr>
              <w:tabs>
                <w:tab w:val="left" w:pos="173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pacing w:val="40"/>
                <w:sz w:val="24"/>
                <w:szCs w:val="24"/>
                <w:lang w:val="uk-UA" w:eastAsia="ru-RU"/>
              </w:rPr>
            </w:pPr>
            <w:r w:rsidRPr="001222CA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уміти</w:t>
            </w:r>
            <w:r w:rsidRPr="001222CA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pacing w:val="40"/>
                <w:sz w:val="24"/>
                <w:szCs w:val="24"/>
                <w:lang w:val="uk-UA" w:eastAsia="ru-RU"/>
              </w:rPr>
              <w:t>:</w:t>
            </w:r>
          </w:p>
          <w:p w:rsidR="008C354E" w:rsidRPr="001222CA" w:rsidRDefault="008C354E" w:rsidP="008C354E">
            <w:pPr>
              <w:pStyle w:val="a6"/>
              <w:numPr>
                <w:ilvl w:val="0"/>
                <w:numId w:val="11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організовувати роботу центру </w:t>
            </w: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зв'язків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із громадськістю;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організовувати роботу прес-служби;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організовувати роботу рекламної і консультаційної агенцій;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готувати рекламні гасла, сюжети, тексти;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готувати прес-релізи, інформаційні повідомлення;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організовувати і проводити брифінги і прес-конференції у сфері соціального забезпечення;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організовувати і проводити виставки і ярмарки;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моніторити</w:t>
            </w:r>
            <w:proofErr w:type="spellEnd"/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інформаційний простір;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створювати інформаційну базу  для соціальної роботи;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працювати із журналістами та медіа; </w:t>
            </w:r>
          </w:p>
          <w:p w:rsidR="008C354E" w:rsidRPr="001222CA" w:rsidRDefault="008C354E" w:rsidP="008C354E">
            <w:pPr>
              <w:pStyle w:val="a6"/>
              <w:numPr>
                <w:ilvl w:val="1"/>
                <w:numId w:val="12"/>
              </w:numPr>
              <w:tabs>
                <w:tab w:val="left" w:pos="173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планувати соціальну рекламну кампанію.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Соціальне забезпечення, реклама, соціальна реклама,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паблік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рілейшнз</w:t>
            </w:r>
            <w:proofErr w:type="spellEnd"/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Очний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3631"/>
              <w:gridCol w:w="992"/>
              <w:gridCol w:w="2268"/>
            </w:tblGrid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Тиж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-</w:t>
                  </w:r>
                </w:p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день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Назва тем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Форма заняття</w:t>
                  </w:r>
                </w:p>
              </w:tc>
              <w:tc>
                <w:tcPr>
                  <w:tcW w:w="2268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Література</w:t>
                  </w: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Тема 1. Рекламно-інформаційні технології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у діяльності соціального працівника </w:t>
                  </w:r>
                </w:p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Аналіз поняття і завдань рекламно-інформаційної діяльності у соціальній роботі.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Види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технології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рекламно-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інформаційної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практиці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роботи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Критерії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з точки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зору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роботи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2 год. л. </w:t>
                  </w:r>
                </w:p>
              </w:tc>
              <w:tc>
                <w:tcPr>
                  <w:tcW w:w="2268" w:type="dxa"/>
                  <w:vMerge w:val="restart"/>
                </w:tcPr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Джавадя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О-М. 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Соціальна реклама та ментальне здоров'я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Соціальна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робота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соціальна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освіта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2 (7) (2021): 24-35.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Дідашко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В. Ефективність соціальної реклами в сучасному інформаційному суспільстві. Освіта і наука.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1 (2021).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Клопова, А. Г. Гендерний аспект становлення соціальної реклами в Україні.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Світові тенденції у сфері реклами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зв’язків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з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гром</w:t>
                  </w:r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адськістю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: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проблеми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перспективи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(2021): 35.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Клос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Л.,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Джавадян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О.-М. Соціальна реклама як приклад 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c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учасної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практики соціальної роботи в Україні //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Social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Work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and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Education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. 2021.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Vol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. 8,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No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. 2. 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 190-203.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 xml:space="preserve">Легкий О. А. Організація відділу маркетингу в умовах четвертої промислової </w:t>
                  </w:r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lastRenderedPageBreak/>
                    <w:t xml:space="preserve">революції  / Електронне наукове фахове видання Мукачівського державного університету «Економіка та суспільство». 2018.  № 14. 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 xml:space="preserve">Легкий О.А., </w:t>
                  </w:r>
                  <w:proofErr w:type="spellStart"/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>Сохацька</w:t>
                  </w:r>
                  <w:proofErr w:type="spellEnd"/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 xml:space="preserve"> О.М. Ефективність цифрових маркетингових комунікацій: від постановки мети до оцінювання результату. Маркетинг і цифрові технології. 2017. № 2. С. 4-31.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Мазоха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Д. Рекламно-інформаційна підготовка майб</w:t>
                  </w:r>
                  <w:r w:rsidR="001222CA"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утнього соціального працівника.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Гуманітарний вісник Державного вищого навчального закладу Переяслав-Хмельницький державний педагогічний університет імені ГС Сковороди. Педагогіка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38 (2016): 66.</w:t>
                  </w:r>
                </w:p>
                <w:p w:rsidR="00557096" w:rsidRPr="001222CA" w:rsidRDefault="00557096" w:rsidP="00557096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33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1222CA">
                    <w:rPr>
                      <w:rStyle w:val="a9"/>
                      <w:rFonts w:ascii="Times New Roman" w:hAnsi="Times New Roman" w:cs="Times New Roman"/>
                      <w:bCs/>
                      <w:i w:val="0"/>
                      <w:iCs w:val="0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Олтаржевський</w:t>
                  </w:r>
                  <w:proofErr w:type="spellEnd"/>
                  <w:r w:rsidRPr="001222CA">
                    <w:rPr>
                      <w:rStyle w:val="a9"/>
                      <w:rFonts w:ascii="Times New Roman" w:hAnsi="Times New Roman" w:cs="Times New Roman"/>
                      <w:bCs/>
                      <w:i w:val="0"/>
                      <w:iCs w:val="0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Д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 О. О-50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Style w:val="a9"/>
                      <w:rFonts w:ascii="Times New Roman" w:hAnsi="Times New Roman" w:cs="Times New Roman"/>
                      <w:bCs/>
                      <w:i w:val="0"/>
                      <w:iCs w:val="0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Соціальна реклама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: навчальний посібник. К. :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Style w:val="a9"/>
                      <w:rFonts w:ascii="Times New Roman" w:hAnsi="Times New Roman" w:cs="Times New Roman"/>
                      <w:bCs/>
                      <w:i w:val="0"/>
                      <w:iCs w:val="0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Центр вільної преси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,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222CA">
                    <w:rPr>
                      <w:rStyle w:val="a9"/>
                      <w:rFonts w:ascii="Times New Roman" w:hAnsi="Times New Roman" w:cs="Times New Roman"/>
                      <w:bCs/>
                      <w:i w:val="0"/>
                      <w:iCs w:val="0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2016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 120 с.</w:t>
                  </w:r>
                </w:p>
                <w:p w:rsidR="00557096" w:rsidRPr="001222CA" w:rsidRDefault="00557096" w:rsidP="00652DAD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-108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Хоменко-Семенова Л. О. 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Роль соціальної реклами в професійній діяльності соціального працівника.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Проблеми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сучасної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педагогічної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освіти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2014-02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</w:p>
                <w:p w:rsidR="00557096" w:rsidRPr="001222CA" w:rsidRDefault="00557096" w:rsidP="00652DAD">
                  <w:pPr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after="0" w:line="240" w:lineRule="auto"/>
                    <w:ind w:left="-108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</w:pPr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 xml:space="preserve">Шалева О. І. Електронна комерція. </w:t>
                  </w:r>
                  <w:proofErr w:type="spellStart"/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>Навч</w:t>
                  </w:r>
                  <w:proofErr w:type="spellEnd"/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>посіб</w:t>
                  </w:r>
                  <w:proofErr w:type="spellEnd"/>
                  <w:r w:rsidRPr="001222C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 w:eastAsia="uk-UA"/>
                    </w:rPr>
                    <w:t xml:space="preserve">. К.: Центр учбової літератури, 2016. 216 с. </w:t>
                  </w:r>
                </w:p>
                <w:p w:rsidR="00557096" w:rsidRPr="001222CA" w:rsidRDefault="00557096" w:rsidP="00652DAD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left" w:pos="360"/>
                      <w:tab w:val="left" w:pos="1134"/>
                    </w:tabs>
                    <w:ind w:left="-108" w:firstLine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ЯненкоЯ.В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Мультимедійний творчий проект як технологія навчання майбутніх фахівців у галузі мас-медіа. Інформаційні технології і засоби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навчання.Том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44. № 6. К. : Інститут інформаційних технологій і засобів навчання, 2014. С.134–140</w:t>
                  </w: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Тема 2.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Правові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аспекти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відносин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сфері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інформації</w:t>
                  </w:r>
                  <w:proofErr w:type="spellEnd"/>
                </w:p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Відмінність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інформаційно-правових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норм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від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норм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інших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галузей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права.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Основні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завдання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інформаційного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права.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Особливість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інформаційних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правовідносин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.</w:t>
                  </w:r>
                </w:p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2 год. л. / 2 год. пр.</w:t>
                  </w:r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3,4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Тема 3.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Соціальна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реклама як метод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професійної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соціального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працівника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Класифікація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інструментарію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застосування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технології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практиці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Етапи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розробки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втілення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Організація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соціальних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проектів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публічних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акцій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залучення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уваги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громадськості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Просвітницька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діяльність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Інформування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широкого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загалу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проблеми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галузі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Методи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досягнення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громадського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резонансу.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4 год. л. / 2 год. пр.</w:t>
                  </w:r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5,6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Тема 4.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Організація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рекламно-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інформаційної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кампанії</w:t>
                  </w:r>
                  <w:proofErr w:type="spellEnd"/>
                </w:p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Організація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рекламних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агентств.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підходи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застосування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Планування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вміла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реалізація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рекламно-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інформаційної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Формулювання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загальної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мети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Оцінка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ресурсів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Реалізація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Моніторинг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Етапи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рекламних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комунікацій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4 год. л. / 2 год</w:t>
                  </w:r>
                  <w:proofErr w:type="gram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7,8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Тема 5.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Особливості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реалізації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основних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заходів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рекламно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ї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нформаційної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кампанії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Специфічні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особливості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Сучасні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методики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розробки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кампанії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Основні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цілі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завдання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кампанії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Послідовность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етапів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розробки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кампанії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Шляхи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оптимізації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процесу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цілому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та на кожному з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етапів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Форми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послідовність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маркетингу.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Моделі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рекламного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впливу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Медіа-планування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Матриця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Россітера-Персі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комунікації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стратегії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4 год. л. / 2 год</w:t>
                  </w:r>
                  <w:proofErr w:type="gram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9,10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</w:t>
                  </w: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6. </w:t>
                  </w: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Медіа як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рекламоносії</w:t>
                  </w:r>
                  <w:proofErr w:type="spellEnd"/>
                </w:p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Особливості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медіазасобів-рекламоносіїв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Технічні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характеристики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медіазасобів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способи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вимірювання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аудиторії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ЗМІ.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Ефективність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розміщення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Позиціонування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Явище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зносу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й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оцінка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.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Особливості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розміщення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телебаченні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Поняття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види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телереклами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Реклама на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телебаченні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як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комунікативна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технологія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Характеристика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як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інструменту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комунікацій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4 год. л. / 2 год</w:t>
                  </w:r>
                  <w:proofErr w:type="gram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11,12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Тема 7. </w:t>
                  </w: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Творча ідея, композиція, дизайн реклами, підготовка рекламного тексту, маркетингові комунікації. Стимулювання збуту.</w:t>
                  </w:r>
                </w:p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Пошук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творчої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ідеї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Принципи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прийоми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побудови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композиції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Дизайн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Кольористика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уявний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комунікатор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фірмовий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стиль.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Написання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рекламного тексту.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Маркетингові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комунікації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Стимулювання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збуту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4 год. л. / 2 год</w:t>
                  </w:r>
                  <w:proofErr w:type="gram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13,14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Тема 8. Поняття, сутність, завдання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паблік-рілейшенз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і законодавча база</w:t>
                  </w:r>
                </w:p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Терміни й визначення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паблік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рілейшнз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. </w:t>
                  </w: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Генеза ПР.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Світ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ПР. Правила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спілкування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Різниця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ПР та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реклами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, ПР і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пропаганди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Етичні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кодекси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міжнародної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асоціації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фахівців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ПР. 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4 год. л. / 2 год</w:t>
                  </w:r>
                  <w:proofErr w:type="gram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22CA" w:rsidRPr="001222CA" w:rsidTr="001222CA">
              <w:tc>
                <w:tcPr>
                  <w:tcW w:w="1047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15,16</w:t>
                  </w:r>
                </w:p>
              </w:tc>
              <w:tc>
                <w:tcPr>
                  <w:tcW w:w="3631" w:type="dxa"/>
                </w:tcPr>
                <w:p w:rsidR="00557096" w:rsidRPr="001222CA" w:rsidRDefault="00557096" w:rsidP="0055709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Тема 9.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Оцінювання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результатів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впливу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соціальної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рекламно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інформаційної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кампанії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Моніторинг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Оцінка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Методи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ефективності</w:t>
                  </w:r>
                  <w:proofErr w:type="spellEnd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4 год. л. / 2 год</w:t>
                  </w:r>
                  <w:proofErr w:type="gram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22C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Merge/>
                </w:tcPr>
                <w:p w:rsidR="00557096" w:rsidRPr="001222CA" w:rsidRDefault="00557096" w:rsidP="00557096">
                  <w:pPr>
                    <w:tabs>
                      <w:tab w:val="left" w:pos="851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8C354E" w:rsidRPr="001222CA" w:rsidRDefault="008C354E" w:rsidP="009364E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Залік в кінці семестру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8C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вивчення курсу студенти потребують базових знань з соціальної психології, основ теорії соціального забезпечення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Презентація, лекції,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колаборативне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моделювання, виконання письмових завдань.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8C354E" w:rsidRPr="001222CA" w:rsidRDefault="008C354E" w:rsidP="008C354E">
            <w:pPr>
              <w:numPr>
                <w:ilvl w:val="0"/>
                <w:numId w:val="1"/>
              </w:numPr>
              <w:tabs>
                <w:tab w:val="left" w:pos="175"/>
                <w:tab w:val="left" w:pos="851"/>
                <w:tab w:val="left" w:pos="113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активність на практичному занятті: 50 % остаточної оцінки – 50 балів;</w:t>
            </w:r>
          </w:p>
          <w:p w:rsidR="008C354E" w:rsidRPr="001222CA" w:rsidRDefault="008C354E" w:rsidP="008C354E">
            <w:pPr>
              <w:numPr>
                <w:ilvl w:val="0"/>
                <w:numId w:val="1"/>
              </w:numPr>
              <w:tabs>
                <w:tab w:val="left" w:pos="175"/>
                <w:tab w:val="left" w:pos="851"/>
                <w:tab w:val="left" w:pos="113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усний виступ з промовою, участь у дебатах: 25% остаточної оцінки – 25 балів;</w:t>
            </w:r>
          </w:p>
          <w:p w:rsidR="008C354E" w:rsidRPr="001222CA" w:rsidRDefault="008C354E" w:rsidP="008C354E">
            <w:pPr>
              <w:numPr>
                <w:ilvl w:val="0"/>
                <w:numId w:val="1"/>
              </w:numPr>
              <w:tabs>
                <w:tab w:val="left" w:pos="175"/>
                <w:tab w:val="left" w:pos="851"/>
                <w:tab w:val="left" w:pos="113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підготовка індивідуального завдання 25% остаточної оцінки – 25 балів.</w:t>
            </w:r>
          </w:p>
          <w:p w:rsidR="008C354E" w:rsidRPr="001222CA" w:rsidRDefault="008C354E" w:rsidP="008C354E">
            <w:pPr>
              <w:widowControl w:val="0"/>
              <w:tabs>
                <w:tab w:val="left" w:pos="175"/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Підсумкова максимальна кількість балів 100 балів.</w:t>
            </w:r>
          </w:p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Письмові роботи: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Очікується, що студенти виконають декілька видів письмових робіт (есе, конспект промови…).</w:t>
            </w:r>
          </w:p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Академічна доброчесність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Відвідання занять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та активність у аудиторії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Література.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8C354E" w:rsidRPr="001222CA" w:rsidRDefault="008C354E" w:rsidP="009364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  <w:r w:rsidRPr="001222C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Враховуються бали набрані на за виконання письмових робіт, виступах із промовами, участі у дебатах та ін.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C354E" w:rsidRPr="001222CA" w:rsidRDefault="008C354E" w:rsidP="009364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1222CA" w:rsidRPr="001222CA" w:rsidTr="0055709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Питання на залік</w:t>
            </w:r>
          </w:p>
          <w:p w:rsidR="008C354E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Сучасна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українська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реклама: </w:t>
            </w:r>
            <w:proofErr w:type="spellStart"/>
            <w:r w:rsidRPr="001222CA">
              <w:rPr>
                <w:color w:val="0D0D0D" w:themeColor="text1" w:themeTint="F2"/>
              </w:rPr>
              <w:t>особливості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Pr="001222CA">
              <w:rPr>
                <w:color w:val="0D0D0D" w:themeColor="text1" w:themeTint="F2"/>
              </w:rPr>
              <w:t>розвиток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8C354E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Досвід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різних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країнах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світу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8C354E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Визначення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понять «реклама» та «рекл</w:t>
            </w:r>
            <w:r w:rsidR="001F1063" w:rsidRPr="001222CA">
              <w:rPr>
                <w:color w:val="0D0D0D" w:themeColor="text1" w:themeTint="F2"/>
              </w:rPr>
              <w:t>амно-</w:t>
            </w:r>
            <w:proofErr w:type="spellStart"/>
            <w:r w:rsidR="001F1063" w:rsidRPr="001222CA">
              <w:rPr>
                <w:color w:val="0D0D0D" w:themeColor="text1" w:themeTint="F2"/>
              </w:rPr>
              <w:t>інформаційна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технологія</w:t>
            </w:r>
            <w:proofErr w:type="spellEnd"/>
            <w:r w:rsidR="001F1063" w:rsidRPr="001222CA">
              <w:rPr>
                <w:color w:val="0D0D0D" w:themeColor="text1" w:themeTint="F2"/>
              </w:rPr>
              <w:t>»</w:t>
            </w:r>
            <w:r w:rsidRPr="001222CA">
              <w:rPr>
                <w:color w:val="0D0D0D" w:themeColor="text1" w:themeTint="F2"/>
              </w:rPr>
              <w:t xml:space="preserve">. </w:t>
            </w:r>
            <w:proofErr w:type="spellStart"/>
            <w:r w:rsidRPr="001222CA">
              <w:rPr>
                <w:color w:val="0D0D0D" w:themeColor="text1" w:themeTint="F2"/>
              </w:rPr>
              <w:t>Основні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риси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8C354E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Комерційна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Pr="001222CA">
              <w:rPr>
                <w:color w:val="0D0D0D" w:themeColor="text1" w:themeTint="F2"/>
              </w:rPr>
              <w:t>політична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Поява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нових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напрямків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рекламі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Pr="001222CA">
              <w:rPr>
                <w:color w:val="0D0D0D" w:themeColor="text1" w:themeTint="F2"/>
              </w:rPr>
              <w:t>розповсюдженні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ін</w:t>
            </w:r>
            <w:r w:rsidR="001F1063" w:rsidRPr="001222CA">
              <w:rPr>
                <w:color w:val="0D0D0D" w:themeColor="text1" w:themeTint="F2"/>
              </w:rPr>
              <w:t>формації</w:t>
            </w:r>
            <w:proofErr w:type="spellEnd"/>
            <w:r w:rsidR="001F1063" w:rsidRPr="001222CA">
              <w:rPr>
                <w:color w:val="0D0D0D" w:themeColor="text1" w:themeTint="F2"/>
              </w:rPr>
              <w:t>.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Підготовка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фахівців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галузі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</w:t>
            </w:r>
            <w:r w:rsidR="001F1063" w:rsidRPr="001222CA">
              <w:rPr>
                <w:color w:val="0D0D0D" w:themeColor="text1" w:themeTint="F2"/>
              </w:rPr>
              <w:t>еред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соціальних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працівників</w:t>
            </w:r>
            <w:proofErr w:type="spellEnd"/>
            <w:r w:rsidR="001F1063" w:rsidRPr="001222CA">
              <w:rPr>
                <w:color w:val="0D0D0D" w:themeColor="text1" w:themeTint="F2"/>
              </w:rPr>
              <w:t>.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Види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аналізу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даних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для </w:t>
            </w:r>
            <w:proofErr w:type="spellStart"/>
            <w:r w:rsidRPr="001222CA">
              <w:rPr>
                <w:color w:val="0D0D0D" w:themeColor="text1" w:themeTint="F2"/>
              </w:rPr>
              <w:t>оброблення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інформації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галузі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соціології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Зміст</w:t>
            </w:r>
            <w:proofErr w:type="spellEnd"/>
            <w:r w:rsidRPr="001222CA">
              <w:rPr>
                <w:color w:val="0D0D0D" w:themeColor="text1" w:themeTint="F2"/>
              </w:rPr>
              <w:t xml:space="preserve"> понять «</w:t>
            </w: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реклама», «</w:t>
            </w:r>
            <w:proofErr w:type="spellStart"/>
            <w:r w:rsidRPr="001222CA">
              <w:rPr>
                <w:color w:val="0D0D0D" w:themeColor="text1" w:themeTint="F2"/>
              </w:rPr>
              <w:t>некомерційна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реклама», «</w:t>
            </w:r>
            <w:proofErr w:type="spellStart"/>
            <w:r w:rsidRPr="001222CA">
              <w:rPr>
                <w:color w:val="0D0D0D" w:themeColor="text1" w:themeTint="F2"/>
              </w:rPr>
              <w:t>суспільна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реклама».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r w:rsidRPr="001222CA">
              <w:rPr>
                <w:color w:val="0D0D0D" w:themeColor="text1" w:themeTint="F2"/>
              </w:rPr>
              <w:t xml:space="preserve">Масштаб </w:t>
            </w:r>
            <w:proofErr w:type="spellStart"/>
            <w:r w:rsidRPr="001222CA">
              <w:rPr>
                <w:color w:val="0D0D0D" w:themeColor="text1" w:themeTint="F2"/>
              </w:rPr>
              <w:t>дії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концентрація</w:t>
            </w:r>
            <w:proofErr w:type="spellEnd"/>
            <w:r w:rsidRPr="001222CA">
              <w:rPr>
                <w:color w:val="0D0D0D" w:themeColor="text1" w:themeTint="F2"/>
              </w:rPr>
              <w:t xml:space="preserve"> на </w:t>
            </w:r>
            <w:proofErr w:type="spellStart"/>
            <w:r w:rsidRPr="001222CA">
              <w:rPr>
                <w:color w:val="0D0D0D" w:themeColor="text1" w:themeTint="F2"/>
              </w:rPr>
              <w:t>цільовій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аудиторії</w:t>
            </w:r>
            <w:proofErr w:type="spellEnd"/>
            <w:r w:rsidRPr="001222CA">
              <w:rPr>
                <w:color w:val="0D0D0D" w:themeColor="text1" w:themeTint="F2"/>
              </w:rPr>
              <w:t xml:space="preserve">, характер </w:t>
            </w:r>
            <w:proofErr w:type="spellStart"/>
            <w:r w:rsidRPr="001222CA">
              <w:rPr>
                <w:color w:val="0D0D0D" w:themeColor="text1" w:themeTint="F2"/>
              </w:rPr>
              <w:t>впливу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форма </w:t>
            </w:r>
            <w:proofErr w:type="spellStart"/>
            <w:r w:rsidRPr="001222CA">
              <w:rPr>
                <w:color w:val="0D0D0D" w:themeColor="text1" w:themeTint="F2"/>
              </w:rPr>
              <w:t>соціальної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Порівняльна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характеристика </w:t>
            </w:r>
            <w:proofErr w:type="spellStart"/>
            <w:r w:rsidRPr="001222CA">
              <w:rPr>
                <w:color w:val="0D0D0D" w:themeColor="text1" w:themeTint="F2"/>
              </w:rPr>
              <w:t>соціал</w:t>
            </w:r>
            <w:r w:rsidR="001F1063" w:rsidRPr="001222CA">
              <w:rPr>
                <w:color w:val="0D0D0D" w:themeColor="text1" w:themeTint="F2"/>
              </w:rPr>
              <w:t>ьної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="001F1063" w:rsidRPr="001222CA">
              <w:rPr>
                <w:color w:val="0D0D0D" w:themeColor="text1" w:themeTint="F2"/>
              </w:rPr>
              <w:t>комерційної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реклами</w:t>
            </w:r>
            <w:proofErr w:type="spellEnd"/>
            <w:r w:rsidR="001F1063" w:rsidRPr="001222CA">
              <w:rPr>
                <w:color w:val="0D0D0D" w:themeColor="text1" w:themeTint="F2"/>
              </w:rPr>
              <w:t>.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 в </w:t>
            </w:r>
            <w:proofErr w:type="spellStart"/>
            <w:r w:rsidRPr="001222CA">
              <w:rPr>
                <w:color w:val="0D0D0D" w:themeColor="text1" w:themeTint="F2"/>
              </w:rPr>
              <w:t>роботі</w:t>
            </w:r>
            <w:proofErr w:type="spellEnd"/>
            <w:r w:rsidRPr="001222CA">
              <w:rPr>
                <w:color w:val="0D0D0D" w:themeColor="text1" w:themeTint="F2"/>
              </w:rPr>
              <w:t xml:space="preserve"> таких </w:t>
            </w:r>
            <w:proofErr w:type="spellStart"/>
            <w:r w:rsidRPr="001222CA">
              <w:rPr>
                <w:color w:val="0D0D0D" w:themeColor="text1" w:themeTint="F2"/>
              </w:rPr>
              <w:t>організацій</w:t>
            </w:r>
            <w:proofErr w:type="spellEnd"/>
            <w:r w:rsidRPr="001222CA">
              <w:rPr>
                <w:color w:val="0D0D0D" w:themeColor="text1" w:themeTint="F2"/>
              </w:rPr>
              <w:t xml:space="preserve"> як: </w:t>
            </w:r>
            <w:proofErr w:type="spellStart"/>
            <w:r w:rsidRPr="001222CA">
              <w:rPr>
                <w:color w:val="0D0D0D" w:themeColor="text1" w:themeTint="F2"/>
              </w:rPr>
              <w:t>некомерційні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організації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різного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роду </w:t>
            </w:r>
            <w:proofErr w:type="spellStart"/>
            <w:r w:rsidRPr="001222CA">
              <w:rPr>
                <w:color w:val="0D0D0D" w:themeColor="text1" w:themeTint="F2"/>
              </w:rPr>
              <w:t>асоціації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державні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структури</w:t>
            </w:r>
            <w:proofErr w:type="spellEnd"/>
            <w:r w:rsidRPr="001222CA">
              <w:rPr>
                <w:color w:val="0D0D0D" w:themeColor="text1" w:themeTint="F2"/>
              </w:rPr>
              <w:t xml:space="preserve">. 23.Засоби </w:t>
            </w:r>
            <w:proofErr w:type="spellStart"/>
            <w:r w:rsidRPr="001222CA">
              <w:rPr>
                <w:color w:val="0D0D0D" w:themeColor="text1" w:themeTint="F2"/>
              </w:rPr>
              <w:t>розповсюдження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Законодавче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регулювання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діяльності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Україні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Правові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аспекти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врегулювання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</w:t>
            </w:r>
            <w:r w:rsidR="001F1063" w:rsidRPr="001222CA">
              <w:rPr>
                <w:color w:val="0D0D0D" w:themeColor="text1" w:themeTint="F2"/>
              </w:rPr>
              <w:t>оціальної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реклами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="001F1063" w:rsidRPr="001222CA">
              <w:rPr>
                <w:color w:val="0D0D0D" w:themeColor="text1" w:themeTint="F2"/>
              </w:rPr>
              <w:t>Україні</w:t>
            </w:r>
            <w:proofErr w:type="spellEnd"/>
            <w:r w:rsidR="001F1063" w:rsidRPr="001222CA">
              <w:rPr>
                <w:color w:val="0D0D0D" w:themeColor="text1" w:themeTint="F2"/>
              </w:rPr>
              <w:t>.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Законодавчі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ініціативи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</w:t>
            </w:r>
            <w:r w:rsidR="001F1063" w:rsidRPr="001222CA">
              <w:rPr>
                <w:color w:val="0D0D0D" w:themeColor="text1" w:themeTint="F2"/>
              </w:rPr>
              <w:t>ої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реклама в </w:t>
            </w:r>
            <w:proofErr w:type="spellStart"/>
            <w:r w:rsidR="001F1063" w:rsidRPr="001222CA">
              <w:rPr>
                <w:color w:val="0D0D0D" w:themeColor="text1" w:themeTint="F2"/>
              </w:rPr>
              <w:t>країнах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Заходу.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lastRenderedPageBreak/>
              <w:t>Технологічні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аспекти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проектування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 (креатив, правила </w:t>
            </w:r>
            <w:proofErr w:type="spellStart"/>
            <w:r w:rsidRPr="001222CA">
              <w:rPr>
                <w:color w:val="0D0D0D" w:themeColor="text1" w:themeTint="F2"/>
              </w:rPr>
              <w:t>візуалізації</w:t>
            </w:r>
            <w:proofErr w:type="spellEnd"/>
            <w:r w:rsidRPr="001222CA">
              <w:rPr>
                <w:color w:val="0D0D0D" w:themeColor="text1" w:themeTint="F2"/>
              </w:rPr>
              <w:t>, методика RAM-</w:t>
            </w:r>
            <w:proofErr w:type="spellStart"/>
            <w:r w:rsidRPr="001222CA">
              <w:rPr>
                <w:color w:val="0D0D0D" w:themeColor="text1" w:themeTint="F2"/>
              </w:rPr>
              <w:t>провідника</w:t>
            </w:r>
            <w:proofErr w:type="spellEnd"/>
            <w:r w:rsidRPr="001222CA">
              <w:rPr>
                <w:color w:val="0D0D0D" w:themeColor="text1" w:themeTint="F2"/>
              </w:rPr>
              <w:t xml:space="preserve">, методика </w:t>
            </w:r>
            <w:proofErr w:type="spellStart"/>
            <w:r w:rsidRPr="001222CA">
              <w:rPr>
                <w:color w:val="0D0D0D" w:themeColor="text1" w:themeTint="F2"/>
              </w:rPr>
              <w:t>подолання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стереотипів</w:t>
            </w:r>
            <w:proofErr w:type="spellEnd"/>
            <w:r w:rsidRPr="001222CA">
              <w:rPr>
                <w:color w:val="0D0D0D" w:themeColor="text1" w:themeTint="F2"/>
              </w:rPr>
              <w:t xml:space="preserve">).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Розробка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рекламного </w:t>
            </w:r>
            <w:proofErr w:type="spellStart"/>
            <w:r w:rsidRPr="001222CA">
              <w:rPr>
                <w:color w:val="0D0D0D" w:themeColor="text1" w:themeTint="F2"/>
              </w:rPr>
              <w:t>повідомлення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Психологічні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аспекти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сучасної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r w:rsidRPr="001222CA">
              <w:rPr>
                <w:color w:val="0D0D0D" w:themeColor="text1" w:themeTint="F2"/>
              </w:rPr>
              <w:t xml:space="preserve">Структура </w:t>
            </w:r>
            <w:proofErr w:type="spellStart"/>
            <w:r w:rsidRPr="001222CA">
              <w:rPr>
                <w:color w:val="0D0D0D" w:themeColor="text1" w:themeTint="F2"/>
              </w:rPr>
              <w:t>організації</w:t>
            </w:r>
            <w:proofErr w:type="spellEnd"/>
            <w:r w:rsidRPr="001222CA">
              <w:rPr>
                <w:color w:val="0D0D0D" w:themeColor="text1" w:themeTint="F2"/>
              </w:rPr>
              <w:t xml:space="preserve"> промо-</w:t>
            </w:r>
            <w:proofErr w:type="spellStart"/>
            <w:r w:rsidRPr="001222CA">
              <w:rPr>
                <w:color w:val="0D0D0D" w:themeColor="text1" w:themeTint="F2"/>
              </w:rPr>
              <w:t>кампанії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Рекламні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дослідження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Визначення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заходів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які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входять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r w:rsidR="001F1063" w:rsidRPr="001222CA">
              <w:rPr>
                <w:color w:val="0D0D0D" w:themeColor="text1" w:themeTint="F2"/>
              </w:rPr>
              <w:t xml:space="preserve">в комплекс </w:t>
            </w:r>
            <w:proofErr w:type="spellStart"/>
            <w:r w:rsidR="001F1063" w:rsidRPr="001222CA">
              <w:rPr>
                <w:color w:val="0D0D0D" w:themeColor="text1" w:themeTint="F2"/>
              </w:rPr>
              <w:t>public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relations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. </w:t>
            </w:r>
            <w:proofErr w:type="spellStart"/>
            <w:r w:rsidRPr="001222CA">
              <w:rPr>
                <w:color w:val="0D0D0D" w:themeColor="text1" w:themeTint="F2"/>
              </w:rPr>
              <w:t>Можливість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їх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ефективного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використання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діяльності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працівника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 в </w:t>
            </w:r>
            <w:proofErr w:type="spellStart"/>
            <w:r w:rsidRPr="001222CA">
              <w:rPr>
                <w:color w:val="0D0D0D" w:themeColor="text1" w:themeTint="F2"/>
              </w:rPr>
              <w:t>системі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маркетингу.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Спонсоринг</w:t>
            </w:r>
            <w:proofErr w:type="spellEnd"/>
            <w:r w:rsidRPr="001222CA">
              <w:rPr>
                <w:color w:val="0D0D0D" w:themeColor="text1" w:themeTint="F2"/>
              </w:rPr>
              <w:t xml:space="preserve"> і </w:t>
            </w: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реклама. 3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Планування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кампанії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Основні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креативні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технології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можливості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їх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застосування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у </w:t>
            </w:r>
            <w:proofErr w:type="spellStart"/>
            <w:r w:rsidRPr="001222CA">
              <w:rPr>
                <w:color w:val="0D0D0D" w:themeColor="text1" w:themeTint="F2"/>
              </w:rPr>
              <w:t>діяльності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соціального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працівника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r w:rsidRPr="001222CA">
              <w:rPr>
                <w:color w:val="0D0D0D" w:themeColor="text1" w:themeTint="F2"/>
              </w:rPr>
              <w:t xml:space="preserve">На </w:t>
            </w:r>
            <w:proofErr w:type="spellStart"/>
            <w:r w:rsidRPr="001222CA">
              <w:rPr>
                <w:color w:val="0D0D0D" w:themeColor="text1" w:themeTint="F2"/>
              </w:rPr>
              <w:t>базі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знань</w:t>
            </w:r>
            <w:proofErr w:type="spellEnd"/>
            <w:r w:rsidRPr="001222CA">
              <w:rPr>
                <w:color w:val="0D0D0D" w:themeColor="text1" w:themeTint="F2"/>
              </w:rPr>
              <w:t xml:space="preserve"> про </w:t>
            </w:r>
            <w:proofErr w:type="spellStart"/>
            <w:r w:rsidRPr="001222CA">
              <w:rPr>
                <w:color w:val="0D0D0D" w:themeColor="text1" w:themeTint="F2"/>
              </w:rPr>
              <w:t>творчі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підходи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розгляд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колірних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світлових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графічних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підходів</w:t>
            </w:r>
            <w:proofErr w:type="spellEnd"/>
            <w:r w:rsidRPr="001222CA">
              <w:rPr>
                <w:color w:val="0D0D0D" w:themeColor="text1" w:themeTint="F2"/>
              </w:rPr>
              <w:t xml:space="preserve"> до </w:t>
            </w:r>
            <w:proofErr w:type="spellStart"/>
            <w:r w:rsidRPr="001222CA">
              <w:rPr>
                <w:color w:val="0D0D0D" w:themeColor="text1" w:themeTint="F2"/>
              </w:rPr>
              <w:t>створення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рекламно-</w:t>
            </w:r>
            <w:proofErr w:type="spellStart"/>
            <w:r w:rsidRPr="001222CA">
              <w:rPr>
                <w:color w:val="0D0D0D" w:themeColor="text1" w:themeTint="F2"/>
              </w:rPr>
              <w:t>інформаційного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продукту </w:t>
            </w:r>
            <w:proofErr w:type="spellStart"/>
            <w:r w:rsidRPr="001222CA">
              <w:rPr>
                <w:color w:val="0D0D0D" w:themeColor="text1" w:themeTint="F2"/>
              </w:rPr>
              <w:t>безпосередньо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соціальній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роботі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Розгляд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емоційних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впливів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рекламі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Організація</w:t>
            </w:r>
            <w:proofErr w:type="spellEnd"/>
            <w:r w:rsidRPr="001222CA">
              <w:rPr>
                <w:color w:val="0D0D0D" w:themeColor="text1" w:themeTint="F2"/>
              </w:rPr>
              <w:t xml:space="preserve"> простору </w:t>
            </w:r>
            <w:proofErr w:type="spellStart"/>
            <w:r w:rsidRPr="001222CA">
              <w:rPr>
                <w:color w:val="0D0D0D" w:themeColor="text1" w:themeTint="F2"/>
              </w:rPr>
              <w:t>розміщення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експозиції</w:t>
            </w:r>
            <w:proofErr w:type="spellEnd"/>
            <w:r w:rsidRPr="001222CA">
              <w:rPr>
                <w:color w:val="0D0D0D" w:themeColor="text1" w:themeTint="F2"/>
              </w:rPr>
              <w:t xml:space="preserve"> для </w:t>
            </w:r>
            <w:proofErr w:type="spellStart"/>
            <w:r w:rsidRPr="001222CA">
              <w:rPr>
                <w:color w:val="0D0D0D" w:themeColor="text1" w:themeTint="F2"/>
              </w:rPr>
              <w:t>ефективного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проведення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заходу.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Підготовка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Pr="001222CA">
              <w:rPr>
                <w:color w:val="0D0D0D" w:themeColor="text1" w:themeTint="F2"/>
              </w:rPr>
              <w:t>розповсюдження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запрошень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реклами</w:t>
            </w:r>
            <w:proofErr w:type="spellEnd"/>
            <w:r w:rsidRPr="001222CA">
              <w:rPr>
                <w:color w:val="0D0D0D" w:themeColor="text1" w:themeTint="F2"/>
              </w:rPr>
              <w:t xml:space="preserve"> в ЗМІ </w:t>
            </w:r>
            <w:proofErr w:type="spellStart"/>
            <w:r w:rsidRPr="001222CA">
              <w:rPr>
                <w:color w:val="0D0D0D" w:themeColor="text1" w:themeTint="F2"/>
              </w:rPr>
              <w:t>майбутнього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заходу і </w:t>
            </w:r>
            <w:proofErr w:type="spellStart"/>
            <w:r w:rsidRPr="001222CA">
              <w:rPr>
                <w:color w:val="0D0D0D" w:themeColor="text1" w:themeTint="F2"/>
              </w:rPr>
              <w:t>попереднє</w:t>
            </w:r>
            <w:proofErr w:type="spellEnd"/>
            <w:r w:rsidRPr="001222CA">
              <w:rPr>
                <w:color w:val="0D0D0D" w:themeColor="text1" w:themeTint="F2"/>
              </w:rPr>
              <w:t xml:space="preserve"> PR- </w:t>
            </w:r>
            <w:proofErr w:type="spellStart"/>
            <w:r w:rsidRPr="001222CA">
              <w:rPr>
                <w:color w:val="0D0D0D" w:themeColor="text1" w:themeTint="F2"/>
              </w:rPr>
              <w:t>висвітлення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його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пресі</w:t>
            </w:r>
            <w:proofErr w:type="spellEnd"/>
            <w:r w:rsidRPr="001222CA">
              <w:rPr>
                <w:color w:val="0D0D0D" w:themeColor="text1" w:themeTint="F2"/>
              </w:rPr>
              <w:t xml:space="preserve">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r w:rsidRPr="001222CA">
              <w:rPr>
                <w:color w:val="0D0D0D" w:themeColor="text1" w:themeTint="F2"/>
              </w:rPr>
              <w:t xml:space="preserve">Використання </w:t>
            </w:r>
            <w:proofErr w:type="spellStart"/>
            <w:r w:rsidRPr="001222CA">
              <w:rPr>
                <w:color w:val="0D0D0D" w:themeColor="text1" w:themeTint="F2"/>
              </w:rPr>
              <w:t>необхідного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обладнання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технічних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засобів</w:t>
            </w:r>
            <w:proofErr w:type="spellEnd"/>
            <w:r w:rsidRPr="001222CA">
              <w:rPr>
                <w:color w:val="0D0D0D" w:themeColor="text1" w:themeTint="F2"/>
              </w:rPr>
              <w:t xml:space="preserve">, </w:t>
            </w:r>
            <w:proofErr w:type="spellStart"/>
            <w:r w:rsidRPr="001222CA">
              <w:rPr>
                <w:color w:val="0D0D0D" w:themeColor="text1" w:themeTint="F2"/>
              </w:rPr>
              <w:t>належна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організація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подання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матеріалів</w:t>
            </w:r>
            <w:proofErr w:type="spellEnd"/>
            <w:r w:rsidRPr="001222CA">
              <w:rPr>
                <w:color w:val="0D0D0D" w:themeColor="text1" w:themeTint="F2"/>
              </w:rPr>
              <w:t xml:space="preserve"> т</w:t>
            </w:r>
            <w:r w:rsidR="001F1063" w:rsidRPr="001222CA">
              <w:rPr>
                <w:color w:val="0D0D0D" w:themeColor="text1" w:themeTint="F2"/>
              </w:rPr>
              <w:t xml:space="preserve">а </w:t>
            </w:r>
            <w:proofErr w:type="spellStart"/>
            <w:r w:rsidR="001F1063" w:rsidRPr="001222CA">
              <w:rPr>
                <w:color w:val="0D0D0D" w:themeColor="text1" w:themeTint="F2"/>
              </w:rPr>
              <w:t>дотримання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="001F1063" w:rsidRPr="001222CA">
              <w:rPr>
                <w:color w:val="0D0D0D" w:themeColor="text1" w:themeTint="F2"/>
              </w:rPr>
              <w:t>таймінгу</w:t>
            </w:r>
            <w:proofErr w:type="spellEnd"/>
            <w:r w:rsidR="001F1063" w:rsidRPr="001222CA">
              <w:rPr>
                <w:color w:val="0D0D0D" w:themeColor="text1" w:themeTint="F2"/>
              </w:rPr>
              <w:t xml:space="preserve"> заходу.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Рекламний</w:t>
            </w:r>
            <w:proofErr w:type="spellEnd"/>
            <w:r w:rsidRPr="001222CA">
              <w:rPr>
                <w:color w:val="0D0D0D" w:themeColor="text1" w:themeTint="F2"/>
              </w:rPr>
              <w:t xml:space="preserve"> дизайн як </w:t>
            </w:r>
            <w:proofErr w:type="spellStart"/>
            <w:r w:rsidRPr="001222CA">
              <w:rPr>
                <w:color w:val="0D0D0D" w:themeColor="text1" w:themeTint="F2"/>
              </w:rPr>
              <w:t>соціокультурний</w:t>
            </w:r>
            <w:proofErr w:type="spellEnd"/>
            <w:r w:rsidRPr="001222CA">
              <w:rPr>
                <w:color w:val="0D0D0D" w:themeColor="text1" w:themeTint="F2"/>
              </w:rPr>
              <w:t xml:space="preserve"> феномен.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Естетичний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вимір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рекламного образу.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Типології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об'єктів</w:t>
            </w:r>
            <w:proofErr w:type="spellEnd"/>
            <w:r w:rsidRPr="001222CA">
              <w:rPr>
                <w:color w:val="0D0D0D" w:themeColor="text1" w:themeTint="F2"/>
              </w:rPr>
              <w:t xml:space="preserve"> рекламного дизайну.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Соціальна</w:t>
            </w:r>
            <w:proofErr w:type="spellEnd"/>
            <w:r w:rsidRPr="001222CA">
              <w:rPr>
                <w:color w:val="0D0D0D" w:themeColor="text1" w:themeTint="F2"/>
              </w:rPr>
              <w:t xml:space="preserve"> робота в </w:t>
            </w:r>
            <w:proofErr w:type="spellStart"/>
            <w:r w:rsidRPr="001222CA">
              <w:rPr>
                <w:color w:val="0D0D0D" w:themeColor="text1" w:themeTint="F2"/>
              </w:rPr>
              <w:t>комп'ютерних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мережах. </w:t>
            </w:r>
          </w:p>
          <w:p w:rsidR="001F1063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Захист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Pr="001222CA">
              <w:rPr>
                <w:color w:val="0D0D0D" w:themeColor="text1" w:themeTint="F2"/>
              </w:rPr>
              <w:t>безпека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інформації</w:t>
            </w:r>
            <w:proofErr w:type="spellEnd"/>
            <w:r w:rsidRPr="001222CA">
              <w:rPr>
                <w:color w:val="0D0D0D" w:themeColor="text1" w:themeTint="F2"/>
              </w:rPr>
              <w:t xml:space="preserve"> в мережах. </w:t>
            </w:r>
          </w:p>
          <w:p w:rsidR="008C354E" w:rsidRPr="001222CA" w:rsidRDefault="008C354E" w:rsidP="001F1063">
            <w:pPr>
              <w:pStyle w:val="a5"/>
              <w:numPr>
                <w:ilvl w:val="0"/>
                <w:numId w:val="13"/>
              </w:numPr>
              <w:tabs>
                <w:tab w:val="left" w:pos="262"/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0D0D0D" w:themeColor="text1" w:themeTint="F2"/>
              </w:rPr>
            </w:pPr>
            <w:proofErr w:type="spellStart"/>
            <w:r w:rsidRPr="001222CA">
              <w:rPr>
                <w:color w:val="0D0D0D" w:themeColor="text1" w:themeTint="F2"/>
              </w:rPr>
              <w:t>Переваги</w:t>
            </w:r>
            <w:proofErr w:type="spellEnd"/>
            <w:r w:rsidRPr="001222CA">
              <w:rPr>
                <w:color w:val="0D0D0D" w:themeColor="text1" w:themeTint="F2"/>
              </w:rPr>
              <w:t xml:space="preserve"> та </w:t>
            </w:r>
            <w:proofErr w:type="spellStart"/>
            <w:r w:rsidRPr="001222CA">
              <w:rPr>
                <w:color w:val="0D0D0D" w:themeColor="text1" w:themeTint="F2"/>
              </w:rPr>
              <w:t>недоліки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рекламної</w:t>
            </w:r>
            <w:proofErr w:type="spellEnd"/>
            <w:r w:rsidRPr="001222CA">
              <w:rPr>
                <w:color w:val="0D0D0D" w:themeColor="text1" w:themeTint="F2"/>
              </w:rPr>
              <w:t xml:space="preserve"> </w:t>
            </w:r>
            <w:proofErr w:type="spellStart"/>
            <w:r w:rsidRPr="001222CA">
              <w:rPr>
                <w:color w:val="0D0D0D" w:themeColor="text1" w:themeTint="F2"/>
              </w:rPr>
              <w:t>діяльності</w:t>
            </w:r>
            <w:proofErr w:type="spellEnd"/>
            <w:r w:rsidRPr="001222CA">
              <w:rPr>
                <w:color w:val="0D0D0D" w:themeColor="text1" w:themeTint="F2"/>
              </w:rPr>
              <w:t xml:space="preserve"> в </w:t>
            </w:r>
            <w:proofErr w:type="spellStart"/>
            <w:r w:rsidRPr="001222CA">
              <w:rPr>
                <w:color w:val="0D0D0D" w:themeColor="text1" w:themeTint="F2"/>
              </w:rPr>
              <w:t>соціальних</w:t>
            </w:r>
            <w:proofErr w:type="spellEnd"/>
            <w:r w:rsidRPr="001222CA">
              <w:rPr>
                <w:color w:val="0D0D0D" w:themeColor="text1" w:themeTint="F2"/>
              </w:rPr>
              <w:t xml:space="preserve"> мережах</w:t>
            </w:r>
          </w:p>
          <w:p w:rsidR="008C354E" w:rsidRPr="001222CA" w:rsidRDefault="008C354E" w:rsidP="009364EA">
            <w:pPr>
              <w:shd w:val="clear" w:color="auto" w:fill="FFFFFF"/>
              <w:tabs>
                <w:tab w:val="left" w:pos="262"/>
                <w:tab w:val="num" w:pos="40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Перелік завдань, виконання яких є обов’язковими для одержання підсумкової оцінки за іспит будуть розміщені на веб-сторінці кафедри соціального забезпечення та управління персоналом</w:t>
            </w:r>
          </w:p>
        </w:tc>
      </w:tr>
      <w:tr w:rsidR="001222CA" w:rsidRPr="001222CA" w:rsidTr="00557096">
        <w:trPr>
          <w:trHeight w:val="47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4E" w:rsidRPr="001222CA" w:rsidRDefault="008C354E" w:rsidP="009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222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C354E" w:rsidRPr="001222CA" w:rsidRDefault="008C354E" w:rsidP="008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8C354E" w:rsidRPr="001222CA" w:rsidRDefault="008C354E" w:rsidP="008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Доцент кафедри соціального забезпечення </w:t>
      </w:r>
    </w:p>
    <w:p w:rsidR="008C354E" w:rsidRPr="001222CA" w:rsidRDefault="001222CA" w:rsidP="008C3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т</w:t>
      </w:r>
      <w:r w:rsidR="008C354E"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 управління персоналом </w:t>
      </w:r>
      <w:r w:rsidR="008C354E"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8C354E"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8C354E"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8C354E"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8C354E" w:rsidRPr="001222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  <w:t>Оксана КЛІПКОВА</w:t>
      </w:r>
    </w:p>
    <w:p w:rsidR="008C354E" w:rsidRPr="001222CA" w:rsidRDefault="008C354E" w:rsidP="008C354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8C354E" w:rsidRPr="001222CA" w:rsidRDefault="008C354E" w:rsidP="008C354E">
      <w:pPr>
        <w:rPr>
          <w:color w:val="0D0D0D" w:themeColor="text1" w:themeTint="F2"/>
        </w:rPr>
      </w:pPr>
    </w:p>
    <w:bookmarkEnd w:id="0"/>
    <w:p w:rsidR="002B51DF" w:rsidRPr="001222CA" w:rsidRDefault="002B51DF">
      <w:pPr>
        <w:rPr>
          <w:color w:val="0D0D0D" w:themeColor="text1" w:themeTint="F2"/>
        </w:rPr>
      </w:pPr>
    </w:p>
    <w:sectPr w:rsidR="002B51DF" w:rsidRPr="001222CA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B7" w:rsidRDefault="004C19B7">
      <w:pPr>
        <w:spacing w:after="0" w:line="240" w:lineRule="auto"/>
      </w:pPr>
      <w:r>
        <w:separator/>
      </w:r>
    </w:p>
  </w:endnote>
  <w:endnote w:type="continuationSeparator" w:id="0">
    <w:p w:rsidR="004C19B7" w:rsidRDefault="004C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80" w:rsidRDefault="00652DAD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1222CA">
      <w:rPr>
        <w:noProof/>
      </w:rPr>
      <w:t>8</w:t>
    </w:r>
    <w:r>
      <w:fldChar w:fldCharType="end"/>
    </w:r>
  </w:p>
  <w:p w:rsidR="00505D80" w:rsidRDefault="004C19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B7" w:rsidRDefault="004C19B7">
      <w:pPr>
        <w:spacing w:after="0" w:line="240" w:lineRule="auto"/>
      </w:pPr>
      <w:r>
        <w:separator/>
      </w:r>
    </w:p>
  </w:footnote>
  <w:footnote w:type="continuationSeparator" w:id="0">
    <w:p w:rsidR="004C19B7" w:rsidRDefault="004C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A99"/>
    <w:multiLevelType w:val="multilevel"/>
    <w:tmpl w:val="259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727"/>
    <w:multiLevelType w:val="multilevel"/>
    <w:tmpl w:val="AE0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40160"/>
    <w:multiLevelType w:val="hybridMultilevel"/>
    <w:tmpl w:val="013E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212BC"/>
    <w:multiLevelType w:val="hybridMultilevel"/>
    <w:tmpl w:val="E7C28E50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E4A83"/>
    <w:multiLevelType w:val="hybridMultilevel"/>
    <w:tmpl w:val="7B7CC826"/>
    <w:lvl w:ilvl="0" w:tplc="B6D206E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45ED5A26"/>
    <w:multiLevelType w:val="hybridMultilevel"/>
    <w:tmpl w:val="555E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0146"/>
    <w:multiLevelType w:val="hybridMultilevel"/>
    <w:tmpl w:val="A54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0A2B"/>
    <w:multiLevelType w:val="hybridMultilevel"/>
    <w:tmpl w:val="CF4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20BC0"/>
    <w:multiLevelType w:val="hybridMultilevel"/>
    <w:tmpl w:val="DECA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2A2A"/>
    <w:multiLevelType w:val="hybridMultilevel"/>
    <w:tmpl w:val="B6849B68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D20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E6D1C"/>
    <w:multiLevelType w:val="multilevel"/>
    <w:tmpl w:val="1C0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1756A"/>
    <w:multiLevelType w:val="hybridMultilevel"/>
    <w:tmpl w:val="65340868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B4310"/>
    <w:multiLevelType w:val="hybridMultilevel"/>
    <w:tmpl w:val="DA408400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">
    <w:nsid w:val="7D701137"/>
    <w:multiLevelType w:val="hybridMultilevel"/>
    <w:tmpl w:val="EE4443FA"/>
    <w:lvl w:ilvl="0" w:tplc="DF2ACB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6B"/>
    <w:rsid w:val="001222CA"/>
    <w:rsid w:val="001F1063"/>
    <w:rsid w:val="002B51DF"/>
    <w:rsid w:val="004C19B7"/>
    <w:rsid w:val="00557096"/>
    <w:rsid w:val="00652DAD"/>
    <w:rsid w:val="0065406B"/>
    <w:rsid w:val="008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E2A6-AA62-4D3B-830A-A90029D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354E"/>
  </w:style>
  <w:style w:type="paragraph" w:styleId="a5">
    <w:name w:val="Normal (Web)"/>
    <w:basedOn w:val="a"/>
    <w:uiPriority w:val="99"/>
    <w:unhideWhenUsed/>
    <w:rsid w:val="008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54E"/>
    <w:pPr>
      <w:spacing w:after="0" w:line="240" w:lineRule="auto"/>
      <w:ind w:left="720"/>
      <w:contextualSpacing/>
    </w:pPr>
    <w:rPr>
      <w:lang w:val="uk-UA"/>
    </w:rPr>
  </w:style>
  <w:style w:type="character" w:styleId="a7">
    <w:name w:val="Hyperlink"/>
    <w:basedOn w:val="a0"/>
    <w:uiPriority w:val="99"/>
    <w:unhideWhenUsed/>
    <w:rsid w:val="008C354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C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57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sana.klipk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2022-08-14T16:30:00Z</dcterms:created>
  <dcterms:modified xsi:type="dcterms:W3CDTF">2022-10-19T18:02:00Z</dcterms:modified>
</cp:coreProperties>
</file>