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2" w:rsidRPr="008B2AD2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AD2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33432" w:rsidRPr="008B2AD2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AD2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933432" w:rsidRPr="008B2AD2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AD2">
        <w:rPr>
          <w:rFonts w:ascii="Times New Roman" w:hAnsi="Times New Roman" w:cs="Times New Roman"/>
          <w:sz w:val="28"/>
          <w:szCs w:val="28"/>
        </w:rPr>
        <w:t>Економічний факультет</w:t>
      </w:r>
    </w:p>
    <w:p w:rsidR="00933432" w:rsidRPr="008B2AD2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AD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05159" w:rsidRPr="008B2AD2">
        <w:rPr>
          <w:rFonts w:ascii="Times New Roman" w:hAnsi="Times New Roman" w:cs="Times New Roman"/>
          <w:sz w:val="28"/>
          <w:szCs w:val="28"/>
        </w:rPr>
        <w:t>інформаційних систем у менеджменті</w:t>
      </w:r>
    </w:p>
    <w:p w:rsidR="00933432" w:rsidRPr="008B2AD2" w:rsidRDefault="00933432" w:rsidP="0093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93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93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933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8"/>
          <w:szCs w:val="28"/>
        </w:rPr>
        <w:t xml:space="preserve"> </w:t>
      </w:r>
      <w:r w:rsidRPr="008B2AD2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933432" w:rsidRPr="008B2AD2" w:rsidRDefault="00933432" w:rsidP="00933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>На засіданні кафедри інформаційних систем у менеджменті</w:t>
      </w:r>
    </w:p>
    <w:p w:rsidR="00933432" w:rsidRPr="008B2AD2" w:rsidRDefault="00933432" w:rsidP="00933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 xml:space="preserve"> економічного факультету </w:t>
      </w:r>
    </w:p>
    <w:p w:rsidR="00933432" w:rsidRPr="008B2AD2" w:rsidRDefault="00933432" w:rsidP="00933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933432" w:rsidRPr="008B2AD2" w:rsidRDefault="00933432" w:rsidP="00933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B6660B">
        <w:rPr>
          <w:rFonts w:ascii="Times New Roman" w:hAnsi="Times New Roman" w:cs="Times New Roman"/>
          <w:sz w:val="24"/>
          <w:szCs w:val="24"/>
        </w:rPr>
        <w:t>1</w:t>
      </w:r>
      <w:r w:rsidRPr="008B2AD2">
        <w:rPr>
          <w:rFonts w:ascii="Times New Roman" w:hAnsi="Times New Roman" w:cs="Times New Roman"/>
          <w:sz w:val="24"/>
          <w:szCs w:val="24"/>
        </w:rPr>
        <w:t xml:space="preserve"> від </w:t>
      </w:r>
      <w:r w:rsidR="0061173E">
        <w:rPr>
          <w:rFonts w:ascii="Times New Roman" w:hAnsi="Times New Roman" w:cs="Times New Roman"/>
          <w:sz w:val="24"/>
          <w:szCs w:val="24"/>
        </w:rPr>
        <w:t>01.09.</w:t>
      </w:r>
      <w:r w:rsidRPr="008B2AD2">
        <w:rPr>
          <w:rFonts w:ascii="Times New Roman" w:hAnsi="Times New Roman" w:cs="Times New Roman"/>
          <w:sz w:val="24"/>
          <w:szCs w:val="24"/>
        </w:rPr>
        <w:t xml:space="preserve"> 202</w:t>
      </w:r>
      <w:r w:rsidR="00B6660B">
        <w:rPr>
          <w:rFonts w:ascii="Times New Roman" w:hAnsi="Times New Roman" w:cs="Times New Roman"/>
          <w:sz w:val="24"/>
          <w:szCs w:val="24"/>
        </w:rPr>
        <w:t>2</w:t>
      </w:r>
      <w:r w:rsidRPr="008B2AD2">
        <w:rPr>
          <w:rFonts w:ascii="Times New Roman" w:hAnsi="Times New Roman" w:cs="Times New Roman"/>
          <w:sz w:val="24"/>
          <w:szCs w:val="24"/>
        </w:rPr>
        <w:t xml:space="preserve"> р.) </w:t>
      </w:r>
    </w:p>
    <w:p w:rsidR="00933432" w:rsidRPr="008B2AD2" w:rsidRDefault="0061173E" w:rsidP="006117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B74DA43" wp14:editId="3CE60612">
            <wp:extent cx="27432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713" t="42111" r="26480" b="45153"/>
                    <a:stretch/>
                  </pic:blipFill>
                  <pic:spPr bwMode="auto">
                    <a:xfrm>
                      <a:off x="0" y="0"/>
                      <a:ext cx="2745763" cy="82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432" w:rsidRPr="008B2AD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Default="0061173E" w:rsidP="00933432">
      <w:pPr>
        <w:spacing w:after="0"/>
        <w:jc w:val="center"/>
        <w:rPr>
          <w:noProof/>
          <w:lang w:eastAsia="uk-UA"/>
        </w:rPr>
      </w:pPr>
    </w:p>
    <w:p w:rsidR="00933432" w:rsidRPr="008B2AD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0B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AD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B2AD2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 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D2">
        <w:rPr>
          <w:rFonts w:ascii="Times New Roman" w:hAnsi="Times New Roman" w:cs="Times New Roman"/>
          <w:b/>
          <w:sz w:val="28"/>
          <w:szCs w:val="28"/>
        </w:rPr>
        <w:t>«</w:t>
      </w:r>
      <w:r w:rsidR="009F402E" w:rsidRPr="008B2AD2">
        <w:rPr>
          <w:rFonts w:ascii="Times New Roman" w:hAnsi="Times New Roman" w:cs="Times New Roman"/>
          <w:b/>
          <w:sz w:val="28"/>
          <w:szCs w:val="28"/>
        </w:rPr>
        <w:t>Інтернет технології конкурентної розвідки</w:t>
      </w:r>
      <w:r w:rsidRPr="008B2AD2">
        <w:rPr>
          <w:rFonts w:ascii="Times New Roman" w:hAnsi="Times New Roman" w:cs="Times New Roman"/>
          <w:b/>
          <w:sz w:val="28"/>
          <w:szCs w:val="28"/>
        </w:rPr>
        <w:t>»,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B2AD2">
        <w:rPr>
          <w:rFonts w:ascii="Times New Roman" w:hAnsi="Times New Roman" w:cs="Times New Roman"/>
          <w:b/>
          <w:sz w:val="28"/>
          <w:szCs w:val="28"/>
        </w:rPr>
        <w:t xml:space="preserve">що викладається в межах </w:t>
      </w:r>
      <w:r w:rsidRPr="008B2AD2">
        <w:rPr>
          <w:rFonts w:ascii="Times New Roman" w:hAnsi="Times New Roman" w:cs="Times New Roman"/>
          <w:b/>
          <w:noProof/>
          <w:sz w:val="28"/>
          <w:szCs w:val="28"/>
        </w:rPr>
        <w:t>освітньо-професійної програми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D2">
        <w:rPr>
          <w:rFonts w:ascii="Times New Roman" w:hAnsi="Times New Roman" w:cs="Times New Roman"/>
          <w:b/>
          <w:sz w:val="28"/>
          <w:szCs w:val="28"/>
        </w:rPr>
        <w:t xml:space="preserve">першого (бакалаврського) рівня вищої освіти для здобувачів 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B2AD2">
        <w:rPr>
          <w:rFonts w:ascii="Times New Roman" w:hAnsi="Times New Roman" w:cs="Times New Roman"/>
          <w:b/>
          <w:noProof/>
          <w:sz w:val="28"/>
          <w:szCs w:val="28"/>
        </w:rPr>
        <w:t xml:space="preserve">з галузі знань 07 Управління та адміністрування 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D2">
        <w:rPr>
          <w:rFonts w:ascii="Times New Roman" w:hAnsi="Times New Roman" w:cs="Times New Roman"/>
          <w:b/>
          <w:noProof/>
          <w:sz w:val="28"/>
          <w:szCs w:val="28"/>
        </w:rPr>
        <w:t>за спеціальністю 073 Менеджмент</w:t>
      </w:r>
      <w:r w:rsidRPr="008B2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1B0CA1" w:rsidRPr="008B2AD2" w:rsidRDefault="001B0CA1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AD2">
        <w:rPr>
          <w:rFonts w:ascii="Times New Roman" w:hAnsi="Times New Roman" w:cs="Times New Roman"/>
          <w:sz w:val="28"/>
          <w:szCs w:val="28"/>
        </w:rPr>
        <w:t>Львів 2022</w:t>
      </w:r>
      <w:r w:rsidR="00933432" w:rsidRPr="008B2AD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B6680" w:rsidRPr="008B2AD2" w:rsidRDefault="000B6680" w:rsidP="000B66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18"/>
        <w:gridCol w:w="7850"/>
      </w:tblGrid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9F402E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Інтернет технології конкурентної розвідки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Львів, пр. Свободи 18, 79000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факультет, кафедра інформаційних систем у менеджменті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07 «Управління і адміністрування», 073 «Менеджмент»</w:t>
            </w:r>
          </w:p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0B6680">
            <w:pPr>
              <w:pStyle w:val="a4"/>
              <w:rPr>
                <w:color w:val="auto"/>
                <w:lang w:val="uk-UA"/>
              </w:rPr>
            </w:pPr>
            <w:r w:rsidRPr="008B2AD2">
              <w:rPr>
                <w:color w:val="auto"/>
                <w:lang w:val="uk-UA"/>
              </w:rPr>
              <w:t xml:space="preserve">Вишневська Стефанія Миколаївна, </w:t>
            </w:r>
            <w:proofErr w:type="spellStart"/>
            <w:r w:rsidRPr="008B2AD2">
              <w:rPr>
                <w:color w:val="auto"/>
                <w:lang w:val="uk-UA"/>
              </w:rPr>
              <w:t>к.е.н</w:t>
            </w:r>
            <w:proofErr w:type="spellEnd"/>
            <w:r w:rsidRPr="008B2AD2">
              <w:rPr>
                <w:color w:val="auto"/>
                <w:lang w:val="uk-UA"/>
              </w:rPr>
              <w:t>, доцент кафедри інформаційних систем у менеджменті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0B66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B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7" w:history="1">
              <w:r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ynda</w:t>
              </w:r>
              <w:proofErr w:type="spellEnd"/>
              <w:r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stefani</w:t>
              </w:r>
              <w:r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stephaniia.vyshnevska@lnu.edu.ua</w:t>
              </w:r>
            </w:hyperlink>
          </w:p>
          <w:p w:rsidR="000B6680" w:rsidRPr="008B2AD2" w:rsidRDefault="000B6680" w:rsidP="00F5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кафедра інформаційних систем у менеджменті, кімната 100, пр.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Консультації в д</w:t>
            </w:r>
            <w:r w:rsidR="00E717DF" w:rsidRPr="008B2AD2">
              <w:rPr>
                <w:rFonts w:ascii="Times New Roman" w:hAnsi="Times New Roman" w:cs="Times New Roman"/>
                <w:sz w:val="24"/>
                <w:szCs w:val="24"/>
              </w:rPr>
              <w:t>ень проведення лекцій/лабораторних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занять (за попередньою домовленістю). Відповіді на питання через електронну пошту викладача, в MS</w:t>
            </w:r>
            <w:r w:rsidRPr="008B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140B68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9F402E" w:rsidP="009F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Курс розроблено таким чином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, щоб надати студентам необхідні фахові знання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ведення конкурентної розвідки в організацій різних рівнів та форм власності. Інтернет технології конкурентної розвідки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як навчальна дисципліна займається розробкою і практичним застосуванням найбільш ефективних форм побудови організаційних систем в сфері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конкурентної розвідки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. Тому в курсі представлені основні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цілісні знання про організацію діяльності конкурентної розвідки, як основної складової системи безпеки підприємництва. 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Також представлено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пріоритетні ролі, використовуючи сучасні підходи та напрацювання різних галузей наук, формування ефективної системи мотивації для успішної та ефективної реалізації поставлених завдань. 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Акценти зроблено на вивченні навчальної даної дисципліни, а саме оволодіння студентами </w:t>
            </w:r>
            <w:proofErr w:type="spellStart"/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и і використовувати інформаційні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ресурси для технології формування і ведення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якісної конкурентної розвідки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9F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9F402E" w:rsidRPr="008B2AD2">
              <w:rPr>
                <w:rFonts w:ascii="Times New Roman" w:hAnsi="Times New Roman" w:cs="Times New Roman"/>
                <w:sz w:val="24"/>
                <w:szCs w:val="24"/>
              </w:rPr>
              <w:t>Інтернет технології конкурентної розвідки</w:t>
            </w: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є дисципліною вільного вибору для освітньої програми підготовки бакалавра з спеціальності 073 «Менеджмент», яка викладається в 3 семестрі в обсязі 4 кредитів (за Європейською Кредитно-Трансферною Системою ECTS).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81" w:rsidRPr="008B2AD2" w:rsidRDefault="00E27BD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Мета дисципліни сформувати у студентів розуміння і бачення процесів, що ві</w:t>
            </w:r>
            <w:r w:rsidR="00FA7081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дбуваються в </w:t>
            </w:r>
            <w:r w:rsidR="00E35BD5" w:rsidRPr="008B2AD2">
              <w:rPr>
                <w:rFonts w:ascii="Times New Roman" w:hAnsi="Times New Roman" w:cs="Times New Roman"/>
                <w:sz w:val="24"/>
                <w:szCs w:val="24"/>
              </w:rPr>
              <w:t>конкурентній розвідці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66F" w:rsidRPr="008B2AD2">
              <w:rPr>
                <w:rFonts w:ascii="Times New Roman" w:hAnsi="Times New Roman" w:cs="Times New Roman"/>
                <w:sz w:val="24"/>
                <w:szCs w:val="24"/>
              </w:rPr>
              <w:t>а також ознайомитись із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66F" w:rsidRPr="008B2AD2">
              <w:rPr>
                <w:rFonts w:ascii="Times New Roman" w:hAnsi="Times New Roman" w:cs="Times New Roman"/>
                <w:sz w:val="24"/>
                <w:szCs w:val="24"/>
              </w:rPr>
              <w:t>практичним використанням методів конкурентної розвідки.</w:t>
            </w:r>
          </w:p>
          <w:p w:rsidR="00FA7081" w:rsidRPr="008B2AD2" w:rsidRDefault="00E27BD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Задля досягнення </w:t>
            </w:r>
            <w:proofErr w:type="spellStart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посталеної</w:t>
            </w:r>
            <w:proofErr w:type="spellEnd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мети визначено наступні цілі: </w:t>
            </w:r>
          </w:p>
          <w:p w:rsidR="002E566F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– визначення сутності конкурентної розвідки та її основні напрями на підприємстві; </w:t>
            </w:r>
          </w:p>
          <w:p w:rsidR="002E566F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– вивчення поняття інформаційно-аналітичних технологій у роботі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конкурентної розвідки;</w:t>
            </w:r>
          </w:p>
          <w:p w:rsidR="002E566F" w:rsidRPr="008B2AD2" w:rsidRDefault="004C2856" w:rsidP="004C28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8B2A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2E566F" w:rsidRPr="008B2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оволодіння науковою та професійною термінологією</w:t>
            </w:r>
            <w:r w:rsidR="002E566F" w:rsidRPr="008B2A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конкурентної розвідки;</w:t>
            </w:r>
          </w:p>
          <w:p w:rsidR="002E566F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– вивчення способів збирання інформації, її класифікації та перевірки; </w:t>
            </w:r>
          </w:p>
          <w:p w:rsidR="002E566F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2856" w:rsidRPr="008B2AD2">
              <w:rPr>
                <w:rFonts w:ascii="Times New Roman" w:hAnsi="Times New Roman" w:cs="Times New Roman"/>
                <w:sz w:val="24"/>
                <w:szCs w:val="24"/>
              </w:rPr>
              <w:t>поглиблення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знання з організації конкурентної розвідки на підприємстві;</w:t>
            </w:r>
          </w:p>
          <w:p w:rsidR="006F4F77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2856" w:rsidRPr="008B2AD2">
              <w:rPr>
                <w:rFonts w:ascii="Times New Roman" w:hAnsi="Times New Roman" w:cs="Times New Roman"/>
                <w:sz w:val="24"/>
                <w:szCs w:val="24"/>
              </w:rPr>
              <w:t>визначення стратегії розвитку та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організ</w:t>
            </w:r>
            <w:r w:rsidR="004C2856" w:rsidRPr="008B2AD2">
              <w:rPr>
                <w:rFonts w:ascii="Times New Roman" w:hAnsi="Times New Roman" w:cs="Times New Roman"/>
                <w:sz w:val="24"/>
                <w:szCs w:val="24"/>
              </w:rPr>
              <w:t>ації роботи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конкурентної розвідки у міжнародних компаніях.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CF4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Основна література: </w:t>
            </w:r>
          </w:p>
          <w:p w:rsidR="00E35BD5" w:rsidRPr="008B2AD2" w:rsidRDefault="00E35BD5" w:rsidP="00E35B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Про інформацію: закон України // </w:t>
            </w:r>
            <w:proofErr w:type="spellStart"/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</w:t>
            </w:r>
            <w:proofErr w:type="spellEnd"/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Верховної </w:t>
            </w:r>
            <w:r w:rsidR="005A27ED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Ради України. 1992. № 48. </w:t>
            </w: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1447–1462. </w:t>
            </w:r>
          </w:p>
          <w:p w:rsidR="00E35BD5" w:rsidRPr="008B2AD2" w:rsidRDefault="00E35BD5" w:rsidP="00E35B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Про науково-технічну інформацію: закон України // </w:t>
            </w:r>
            <w:proofErr w:type="spellStart"/>
            <w:r w:rsidR="005A27ED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</w:t>
            </w:r>
            <w:proofErr w:type="spellEnd"/>
            <w:r w:rsidR="005A27ED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Верховної Ради України. 1993. № 33. </w:t>
            </w: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843–851. </w:t>
            </w:r>
          </w:p>
          <w:p w:rsidR="00E35BD5" w:rsidRPr="008B2AD2" w:rsidRDefault="002E566F" w:rsidP="00E35B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Давидюк</w:t>
            </w:r>
            <w:proofErr w:type="spellEnd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 Фінансово-економічна безпека або фінансова складова </w:t>
            </w:r>
            <w:proofErr w:type="spellStart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економіч</w:t>
            </w:r>
            <w:proofErr w:type="spellEnd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ної</w:t>
            </w:r>
            <w:proofErr w:type="spellEnd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безпеки: </w:t>
            </w:r>
            <w:proofErr w:type="spellStart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епістемологічний</w:t>
            </w:r>
            <w:proofErr w:type="spellEnd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підхід // Проблеми теорії та методології бухгалтерського обліку, контролю і аналізу. Сер. : Бухгалтерськ</w:t>
            </w: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ий облік, контроль і </w:t>
            </w:r>
            <w:proofErr w:type="spellStart"/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</w:t>
            </w:r>
            <w:proofErr w:type="spellEnd"/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ліз. 2013. Вип. 1. С. 39-52.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URL</w:t>
            </w: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http://nbuv.gov.ua/jpdf/ptmbо 2013_1 6.pdf. </w:t>
            </w:r>
          </w:p>
          <w:p w:rsidR="00E35BD5" w:rsidRPr="008B2AD2" w:rsidRDefault="002E566F" w:rsidP="00E35B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4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Етичний кодекс спілки професіоналів з конкурентної розвідки SCIP</w:t>
            </w: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URL</w:t>
            </w:r>
            <w:r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http://www.scip.org/About/content.cfm?ItemNumber=578&amp;navItem Number=504. </w:t>
            </w:r>
          </w:p>
          <w:p w:rsidR="000B6680" w:rsidRPr="008B2AD2" w:rsidRDefault="002E566F" w:rsidP="00E35BD5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B2AD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5</w:t>
            </w:r>
            <w:r w:rsidR="00E35BD5" w:rsidRPr="008B2AD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. Золотухін Д. Ринок послуг конкурентної розвідки в Україні / Д.Золотухін // Розвідка України</w:t>
            </w:r>
            <w:r w:rsidR="00E35BD5" w:rsidRPr="008B2AD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. </w:t>
            </w:r>
            <w:r w:rsidR="00E35BD5" w:rsidRPr="008B2AD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2010. №9. С. 33 – 34.</w:t>
            </w:r>
            <w:r w:rsidR="00E35BD5" w:rsidRPr="008B2AD2">
              <w:rPr>
                <w:color w:val="auto"/>
                <w:spacing w:val="-4"/>
                <w:sz w:val="28"/>
                <w:szCs w:val="28"/>
              </w:rPr>
              <w:t xml:space="preserve"> </w:t>
            </w:r>
            <w:r w:rsidR="000B6680" w:rsidRPr="008B2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A27ED" w:rsidRPr="008B2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</w:t>
            </w:r>
            <w:r w:rsidR="0080745D" w:rsidRPr="008B2A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5A27ED" w:rsidP="0040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З них __</w:t>
            </w:r>
            <w:r w:rsidRPr="008B2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>__ годин лекцій, __</w:t>
            </w:r>
            <w:r w:rsidRPr="008B2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__ годин </w:t>
            </w:r>
            <w:r w:rsidR="00406801" w:rsidRPr="008B2AD2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занять та __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>__ годин самостійної роботи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7" w:rsidRPr="008B2AD2" w:rsidRDefault="006F4F77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дисципліни студент повинен демонструвати знання, уміння та навички: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 основні категорії інформаційних та комунікативних технологій;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основні провила пошуку, обробки та аналізу інформації з різних джерел; 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визначення </w:t>
            </w:r>
            <w:proofErr w:type="spellStart"/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інтернет-ресурсів</w:t>
            </w:r>
            <w:proofErr w:type="spellEnd"/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для вирішення експериментальних,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практичних і прогностичних завдань у галузі професійної діяльності;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основні закономірності функціонування </w:t>
            </w:r>
            <w:proofErr w:type="spellStart"/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документопотоків</w:t>
            </w:r>
            <w:proofErr w:type="spellEnd"/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 масивів даних;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процеси системного аналізу інформаційної діяльності.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Вміти: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розуміти та використовувати поглиблені знання з теорії та практики організації конкурентної розвідки в установі; 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професійно організувати роботу з інформаційно-аналітичного забезпечення безпеки підприємства; 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здійснювати функціонування управління роботою конкурентної розвідки; 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використовувати методи конкурентної розвідки для збирання інформації;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забезпечувати конкурентну стратегію безпеки підприємства; </w:t>
            </w:r>
          </w:p>
          <w:p w:rsidR="004C2856" w:rsidRPr="008B2AD2" w:rsidRDefault="004C2856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робити </w:t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аналіз, обробляти отриману інформацію та подавати висновки.</w:t>
            </w:r>
          </w:p>
          <w:p w:rsidR="004C2856" w:rsidRPr="008B2AD2" w:rsidRDefault="004C2856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набуті навички в практичній діяльності; </w:t>
            </w:r>
          </w:p>
          <w:p w:rsidR="000B6680" w:rsidRPr="008B2AD2" w:rsidRDefault="004C2856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використовувати найкращий зарубіжний та вітчизняний досвід у цій сфері.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9B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CF45C0" w:rsidP="0003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Інформація, </w:t>
            </w:r>
            <w:r w:rsidR="00BA3E86" w:rsidRPr="008B2AD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BF3" w:rsidRPr="008B2AD2">
              <w:rPr>
                <w:rFonts w:ascii="Times New Roman" w:hAnsi="Times New Roman" w:cs="Times New Roman"/>
                <w:sz w:val="24"/>
                <w:szCs w:val="24"/>
              </w:rPr>
              <w:t>розвідка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BF3" w:rsidRPr="008B2AD2">
              <w:rPr>
                <w:rFonts w:ascii="Times New Roman" w:hAnsi="Times New Roman" w:cs="Times New Roman"/>
                <w:sz w:val="24"/>
                <w:szCs w:val="24"/>
              </w:rPr>
              <w:t>конкурентна розвідка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3BF3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документообіг, системний аналіз, інформаційна діяльність, конкурентна стратегія.</w:t>
            </w:r>
            <w:r w:rsidR="009B5207"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46487F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b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</w:rPr>
            </w:pPr>
            <w:r w:rsidRPr="008B2AD2">
              <w:rPr>
                <w:rFonts w:ascii="Times New Roman" w:hAnsi="Times New Roman" w:cs="Times New Roman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AD2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2E" w:rsidRPr="008B2AD2" w:rsidRDefault="005D0ADB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033BF3"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E2E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Інтернет як інформаційне середовище КР. Можливості, джерела, методи.</w:t>
            </w:r>
          </w:p>
          <w:p w:rsidR="005A27ED" w:rsidRPr="008B2AD2" w:rsidRDefault="00297E2E" w:rsidP="00FE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Інтернет-розвідка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тактичного, оперативного, стратегічного рівня. Завдання, методологія, інструментарій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Правові та етичні аспекти конкурентної розвідки. Найбільш потужні прийоми пошуку. Витяг інформації з глибинного (невидимого) Інтернету.</w:t>
            </w:r>
          </w:p>
          <w:p w:rsidR="00297E2E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активності конкурентів і провідних гравців ринку. 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рийоми швидкого виявлення в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итоків конфіденційної інформації. 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рийоми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Hacking</w:t>
            </w:r>
            <w:proofErr w:type="spellEnd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рганізація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інтернет-моніторингу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Пошукова технологія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Avalanche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Архітектура, можли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вості та логіка роботи програми.</w:t>
            </w:r>
          </w:p>
          <w:p w:rsidR="005F15C5" w:rsidRPr="008B2AD2" w:rsidRDefault="00297E2E" w:rsidP="00FE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uk-UA"/>
              </w:rPr>
              <w:t>Комплексне забезпечення інформаційної безпеки підприємства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A27ED" w:rsidRPr="008B2AD2" w:rsidRDefault="00297E2E" w:rsidP="00FE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разливості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Інтернету за класифікацією OWASP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Класифікація загроз. Ризик. Фактор.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рганізація захисту конфіденційної інформації (в т. ч. за допомогою DLP-систем).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рактичні аспекти сертифікації систем інформаційної безпеки, захисту конфіденційної інформації та персональних даних.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а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удит інформаційної безпеки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Penetration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Tests- "захист зломом".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Аудит витоків конфіденційної інформації. Визначення реального рівня захищеності.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рограмно-технічні засоби забезпечення ІБ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Класифікація шкідливих програм і захисту від них.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іжмережеві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екрани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ехніка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хакерських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атак і захисту від них.</w:t>
            </w:r>
          </w:p>
          <w:p w:rsidR="005A27ED" w:rsidRPr="008B2AD2" w:rsidRDefault="00FE2B12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297E2E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онкурентна розвідка як елемент корпоративної розвідки.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иявлення спроб вторгнення в контрольовані інформаційні ресурси.</w:t>
            </w:r>
          </w:p>
          <w:p w:rsidR="005A27ED" w:rsidRPr="008B2AD2" w:rsidRDefault="00FE2B12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="00297E2E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Інформаційний портал компанії в Інтернеті. Захист і просування.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E2B12" w:rsidRPr="008B2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Методики приховування присутності в Інтернеті та прихованого доступу до конфіденційної інформації;</w:t>
            </w:r>
          </w:p>
          <w:p w:rsidR="005A27ED" w:rsidRPr="008B2AD2" w:rsidRDefault="00FE2B12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ахист даних на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файлообмінниках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(FTP сервери).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інформаційного протиборства в Інтернеті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D0ADB" w:rsidRPr="008B2AD2" w:rsidRDefault="00FE2B12" w:rsidP="00FE2B12">
            <w:pPr>
              <w:shd w:val="clear" w:color="auto" w:fill="FEFEFE"/>
              <w:spacing w:after="0" w:line="240" w:lineRule="auto"/>
              <w:jc w:val="both"/>
              <w:rPr>
                <w:rFonts w:ascii="Segoe UI" w:eastAsia="Times New Roman" w:hAnsi="Segoe UI" w:cs="Segoe UI"/>
                <w:sz w:val="23"/>
                <w:szCs w:val="23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рийоми і методи ведення інформаційних воєн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кіберпростір.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війська</w:t>
            </w:r>
            <w:proofErr w:type="spellEnd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Кібервійни</w:t>
            </w:r>
            <w:proofErr w:type="spellEnd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Кіберзброя</w:t>
            </w:r>
            <w:proofErr w:type="spellEnd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інформаційні війни в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Інтернеті-загальне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уявлення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конкурентна розвідка в арсеналі інформаційних воєн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Залік в кінці семестру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9D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таких дисциплін як “</w:t>
            </w:r>
            <w:hyperlink r:id="rId9" w:history="1"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Комп’ютерні мережі і телекомунікації</w:t>
              </w:r>
            </w:hyperlink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0" w:history="1"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Менеджмент</w:t>
              </w:r>
            </w:hyperlink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1" w:history="1"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Організація баз </w:t>
              </w:r>
              <w:proofErr w:type="spellStart"/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данних</w:t>
              </w:r>
              <w:proofErr w:type="spellEnd"/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і знань</w:t>
              </w:r>
            </w:hyperlink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hyperlink r:id="rId12" w:history="1"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Організація праці менеджера</w:t>
              </w:r>
            </w:hyperlink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D2484" w:rsidRPr="008B2AD2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hyperlink r:id="rId13" w:history="1">
              <w:r w:rsidR="009D2484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Маркетинговий менеджмент</w:t>
              </w:r>
            </w:hyperlink>
            <w:r w:rsidR="009D2484" w:rsidRPr="008B2AD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4" w:history="1">
              <w:r w:rsidR="009D2484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Технології захисту інформації</w:t>
              </w:r>
            </w:hyperlink>
            <w:r w:rsidR="009D2484" w:rsidRPr="008B2A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Презентації тем курсу, лекції, розв’язування мо</w:t>
            </w:r>
            <w:r w:rsidR="00B975C4" w:rsidRPr="008B2AD2">
              <w:rPr>
                <w:rFonts w:ascii="Times New Roman" w:hAnsi="Times New Roman" w:cs="Times New Roman"/>
                <w:sz w:val="24"/>
                <w:szCs w:val="24"/>
              </w:rPr>
              <w:t>дельних (типових) задач на прак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тичних заняттях, проектно-орієнтоване </w:t>
            </w:r>
            <w:r w:rsidR="00B975C4" w:rsidRPr="008B2AD2">
              <w:rPr>
                <w:rFonts w:ascii="Times New Roman" w:hAnsi="Times New Roman" w:cs="Times New Roman"/>
                <w:sz w:val="24"/>
                <w:szCs w:val="24"/>
              </w:rPr>
              <w:t>навчання (виконання індивідуаль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них практичних робіт з оформленням письмових звітів), дискусії.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Мультимедійний пристрій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(окремо для кожного </w:t>
            </w: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виду навчальної діяльності)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практичні заняття (освоєння модельних прикладів та теоретичного матеріалу) : 30% семестрової оцінки; максимальна кількість балів 30;</w:t>
            </w:r>
          </w:p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• контрольні заміри (4-и модулі): 70% семестрової оцінки; максимальна кількість балів 70;</w:t>
            </w:r>
          </w:p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100.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Екзамен відсутній</w:t>
            </w:r>
          </w:p>
        </w:tc>
      </w:tr>
      <w:tr w:rsidR="000B6680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B6680" w:rsidRPr="008B2AD2" w:rsidRDefault="000B6680" w:rsidP="000B6680">
      <w:pPr>
        <w:jc w:val="both"/>
        <w:rPr>
          <w:rFonts w:ascii="Garamond" w:hAnsi="Garamond" w:cs="Garamond"/>
          <w:sz w:val="8"/>
          <w:szCs w:val="8"/>
        </w:rPr>
      </w:pPr>
    </w:p>
    <w:p w:rsidR="000B6680" w:rsidRPr="008B2AD2" w:rsidRDefault="000B6680" w:rsidP="000B6680"/>
    <w:p w:rsidR="000B6680" w:rsidRPr="008B2AD2" w:rsidRDefault="000B6680" w:rsidP="000B6680"/>
    <w:sectPr w:rsidR="000B6680" w:rsidRPr="008B2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6C"/>
    <w:multiLevelType w:val="hybridMultilevel"/>
    <w:tmpl w:val="D8C47C3C"/>
    <w:lvl w:ilvl="0" w:tplc="0422000F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73" w:hanging="360"/>
      </w:pPr>
    </w:lvl>
    <w:lvl w:ilvl="2" w:tplc="0422001B" w:tentative="1">
      <w:start w:val="1"/>
      <w:numFmt w:val="lowerRoman"/>
      <w:lvlText w:val="%3."/>
      <w:lvlJc w:val="right"/>
      <w:pPr>
        <w:ind w:left="3393" w:hanging="180"/>
      </w:pPr>
    </w:lvl>
    <w:lvl w:ilvl="3" w:tplc="0422000F" w:tentative="1">
      <w:start w:val="1"/>
      <w:numFmt w:val="decimal"/>
      <w:lvlText w:val="%4."/>
      <w:lvlJc w:val="left"/>
      <w:pPr>
        <w:ind w:left="4113" w:hanging="360"/>
      </w:pPr>
    </w:lvl>
    <w:lvl w:ilvl="4" w:tplc="04220019" w:tentative="1">
      <w:start w:val="1"/>
      <w:numFmt w:val="lowerLetter"/>
      <w:lvlText w:val="%5."/>
      <w:lvlJc w:val="left"/>
      <w:pPr>
        <w:ind w:left="4833" w:hanging="360"/>
      </w:pPr>
    </w:lvl>
    <w:lvl w:ilvl="5" w:tplc="0422001B" w:tentative="1">
      <w:start w:val="1"/>
      <w:numFmt w:val="lowerRoman"/>
      <w:lvlText w:val="%6."/>
      <w:lvlJc w:val="right"/>
      <w:pPr>
        <w:ind w:left="5553" w:hanging="180"/>
      </w:pPr>
    </w:lvl>
    <w:lvl w:ilvl="6" w:tplc="0422000F" w:tentative="1">
      <w:start w:val="1"/>
      <w:numFmt w:val="decimal"/>
      <w:lvlText w:val="%7."/>
      <w:lvlJc w:val="left"/>
      <w:pPr>
        <w:ind w:left="6273" w:hanging="360"/>
      </w:pPr>
    </w:lvl>
    <w:lvl w:ilvl="7" w:tplc="04220019" w:tentative="1">
      <w:start w:val="1"/>
      <w:numFmt w:val="lowerLetter"/>
      <w:lvlText w:val="%8."/>
      <w:lvlJc w:val="left"/>
      <w:pPr>
        <w:ind w:left="6993" w:hanging="360"/>
      </w:pPr>
    </w:lvl>
    <w:lvl w:ilvl="8" w:tplc="0422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">
    <w:nsid w:val="0551128C"/>
    <w:multiLevelType w:val="hybridMultilevel"/>
    <w:tmpl w:val="D6EEE5F6"/>
    <w:lvl w:ilvl="0" w:tplc="DC043702">
      <w:start w:val="4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FF0B24"/>
    <w:multiLevelType w:val="multilevel"/>
    <w:tmpl w:val="2C5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47081"/>
    <w:multiLevelType w:val="multilevel"/>
    <w:tmpl w:val="97F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81245"/>
    <w:multiLevelType w:val="hybridMultilevel"/>
    <w:tmpl w:val="098A5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3CFE"/>
    <w:multiLevelType w:val="multilevel"/>
    <w:tmpl w:val="30DA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110B4"/>
    <w:multiLevelType w:val="multilevel"/>
    <w:tmpl w:val="E71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75085"/>
    <w:multiLevelType w:val="multilevel"/>
    <w:tmpl w:val="93F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D1DF0"/>
    <w:multiLevelType w:val="hybridMultilevel"/>
    <w:tmpl w:val="0382FA4C"/>
    <w:lvl w:ilvl="0" w:tplc="F782EA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D34"/>
    <w:multiLevelType w:val="multilevel"/>
    <w:tmpl w:val="1790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A6C2A"/>
    <w:multiLevelType w:val="multilevel"/>
    <w:tmpl w:val="8DBE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E4C49"/>
    <w:multiLevelType w:val="multilevel"/>
    <w:tmpl w:val="8C9C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C7B57"/>
    <w:multiLevelType w:val="multilevel"/>
    <w:tmpl w:val="314A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5050A"/>
    <w:multiLevelType w:val="hybridMultilevel"/>
    <w:tmpl w:val="49EEA928"/>
    <w:lvl w:ilvl="0" w:tplc="AF2CDD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F07D0"/>
    <w:multiLevelType w:val="multilevel"/>
    <w:tmpl w:val="D4C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722B8"/>
    <w:multiLevelType w:val="multilevel"/>
    <w:tmpl w:val="61FED8CA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6"/>
        </w:tabs>
        <w:ind w:left="34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6"/>
        </w:tabs>
        <w:ind w:left="55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  <w:sz w:val="20"/>
      </w:rPr>
    </w:lvl>
  </w:abstractNum>
  <w:abstractNum w:abstractNumId="17">
    <w:nsid w:val="6AB976F5"/>
    <w:multiLevelType w:val="multilevel"/>
    <w:tmpl w:val="B0B4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513B4"/>
    <w:multiLevelType w:val="multilevel"/>
    <w:tmpl w:val="124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A41C09"/>
    <w:multiLevelType w:val="multilevel"/>
    <w:tmpl w:val="6DF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890"/>
    <w:multiLevelType w:val="multilevel"/>
    <w:tmpl w:val="F60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16"/>
  </w:num>
  <w:num w:numId="9">
    <w:abstractNumId w:val="9"/>
  </w:num>
  <w:num w:numId="10">
    <w:abstractNumId w:val="7"/>
  </w:num>
  <w:num w:numId="11">
    <w:abstractNumId w:val="3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12"/>
  </w:num>
  <w:num w:numId="17">
    <w:abstractNumId w:val="5"/>
  </w:num>
  <w:num w:numId="18">
    <w:abstractNumId w:val="17"/>
  </w:num>
  <w:num w:numId="19">
    <w:abstractNumId w:val="2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F"/>
    <w:rsid w:val="00033BF3"/>
    <w:rsid w:val="000A3E29"/>
    <w:rsid w:val="000B6680"/>
    <w:rsid w:val="000F4DA7"/>
    <w:rsid w:val="00140B68"/>
    <w:rsid w:val="00142C7A"/>
    <w:rsid w:val="00186E61"/>
    <w:rsid w:val="001B0CA1"/>
    <w:rsid w:val="002051CF"/>
    <w:rsid w:val="00297E2E"/>
    <w:rsid w:val="002E566F"/>
    <w:rsid w:val="00406801"/>
    <w:rsid w:val="0046487F"/>
    <w:rsid w:val="004C2856"/>
    <w:rsid w:val="004E7A9B"/>
    <w:rsid w:val="00556943"/>
    <w:rsid w:val="005A27ED"/>
    <w:rsid w:val="005D0ADB"/>
    <w:rsid w:val="005F15C5"/>
    <w:rsid w:val="0061173E"/>
    <w:rsid w:val="006B7F6B"/>
    <w:rsid w:val="006F4F77"/>
    <w:rsid w:val="007D2EF2"/>
    <w:rsid w:val="0080745D"/>
    <w:rsid w:val="008B2AD2"/>
    <w:rsid w:val="00933432"/>
    <w:rsid w:val="009B5207"/>
    <w:rsid w:val="009D2484"/>
    <w:rsid w:val="009F402E"/>
    <w:rsid w:val="00B05159"/>
    <w:rsid w:val="00B6660B"/>
    <w:rsid w:val="00B975C4"/>
    <w:rsid w:val="00BA3E86"/>
    <w:rsid w:val="00CF45C0"/>
    <w:rsid w:val="00D532F9"/>
    <w:rsid w:val="00DF51A8"/>
    <w:rsid w:val="00E27BDF"/>
    <w:rsid w:val="00E35BD5"/>
    <w:rsid w:val="00E717DF"/>
    <w:rsid w:val="00EC579F"/>
    <w:rsid w:val="00F33419"/>
    <w:rsid w:val="00F56649"/>
    <w:rsid w:val="00FA7081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35B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35B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ia.vyshnevska@lnu.edu.ua" TargetMode="External"/><Relationship Id="rId13" Type="http://schemas.openxmlformats.org/officeDocument/2006/relationships/hyperlink" Target="https://econom.lnu.edu.ua/course/marketynhovyj-menedzhment-0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nda_stefani@ukr.net" TargetMode="External"/><Relationship Id="rId12" Type="http://schemas.openxmlformats.org/officeDocument/2006/relationships/hyperlink" Target="https://econom.lnu.edu.ua/course/orhanizatsiya-pratsi-menedzhera-0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conom.lnu.edu.ua/course/orhanizatsiya-baz-dannyh-i-znan-0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onom.lnu.edu.ua/course/menedzhment-dlia-spetsialnosti-073-menedzh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.lnu.edu.ua/course/kompyuterni-merezhi-i-telekomunikatsiji-073-i" TargetMode="External"/><Relationship Id="rId14" Type="http://schemas.openxmlformats.org/officeDocument/2006/relationships/hyperlink" Target="https://econom.lnu.edu.ua/course/tehnolohiji-zahystu-informatsiji-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6175</Words>
  <Characters>3520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B560</dc:creator>
  <cp:keywords/>
  <dc:description/>
  <cp:lastModifiedBy>B560</cp:lastModifiedBy>
  <cp:revision>30</cp:revision>
  <dcterms:created xsi:type="dcterms:W3CDTF">2022-06-27T09:26:00Z</dcterms:created>
  <dcterms:modified xsi:type="dcterms:W3CDTF">2022-10-03T15:26:00Z</dcterms:modified>
</cp:coreProperties>
</file>