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Міністерство освіти і науки України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Львівський національний університет імені Івана Франка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Кафедра обліку і аудит</w:t>
      </w:r>
      <w:r w:rsidR="00AF5301">
        <w:rPr>
          <w:szCs w:val="28"/>
        </w:rPr>
        <w:t>у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ПРАКТИКУМ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 xml:space="preserve">з дисципліни «Історія обліку і оподаткування» 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 xml:space="preserve">для студентів економічного факультету спеціальності «Облік і </w:t>
      </w:r>
      <w:r w:rsidR="002A3532">
        <w:rPr>
          <w:szCs w:val="28"/>
        </w:rPr>
        <w:t>оподаткування</w:t>
      </w:r>
      <w:r w:rsidRPr="00652684">
        <w:rPr>
          <w:szCs w:val="28"/>
        </w:rPr>
        <w:t>»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left="0"/>
        <w:contextualSpacing/>
        <w:jc w:val="left"/>
        <w:rPr>
          <w:szCs w:val="28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C2EC5" w:rsidRPr="00652684" w:rsidTr="00CC2EC5">
        <w:tc>
          <w:tcPr>
            <w:tcW w:w="4672" w:type="dxa"/>
          </w:tcPr>
          <w:p w:rsidR="00CC2EC5" w:rsidRPr="00652684" w:rsidRDefault="00CC2EC5" w:rsidP="002A3532">
            <w:pPr>
              <w:pStyle w:val="a3"/>
              <w:spacing w:line="480" w:lineRule="auto"/>
              <w:contextualSpacing/>
              <w:jc w:val="left"/>
              <w:rPr>
                <w:szCs w:val="28"/>
              </w:rPr>
            </w:pPr>
          </w:p>
        </w:tc>
      </w:tr>
      <w:tr w:rsidR="00CC2EC5" w:rsidRPr="00652684" w:rsidTr="00CC2EC5">
        <w:tc>
          <w:tcPr>
            <w:tcW w:w="4672" w:type="dxa"/>
          </w:tcPr>
          <w:p w:rsidR="00CC2EC5" w:rsidRPr="00652684" w:rsidRDefault="00CC2EC5" w:rsidP="002A3532">
            <w:pPr>
              <w:pStyle w:val="a3"/>
              <w:spacing w:line="480" w:lineRule="auto"/>
              <w:contextualSpacing/>
              <w:jc w:val="left"/>
              <w:rPr>
                <w:szCs w:val="28"/>
              </w:rPr>
            </w:pPr>
          </w:p>
        </w:tc>
      </w:tr>
    </w:tbl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2A2FB2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Львів 20</w:t>
      </w:r>
      <w:r w:rsidR="002A3532">
        <w:rPr>
          <w:szCs w:val="28"/>
        </w:rPr>
        <w:t>2</w:t>
      </w:r>
      <w:r w:rsidR="00CE29C4">
        <w:rPr>
          <w:szCs w:val="28"/>
        </w:rPr>
        <w:t>3</w:t>
      </w:r>
      <w:bookmarkStart w:id="0" w:name="_GoBack"/>
      <w:bookmarkEnd w:id="0"/>
    </w:p>
    <w:p w:rsidR="00652684" w:rsidRPr="00652684" w:rsidRDefault="00652684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>Тема 1. Причини, умови і закономірності виникнення та розвитку облік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Завдання 1.1. 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Проаналізувати причини </w:t>
      </w:r>
      <w:r w:rsidRPr="00652684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виникнення обліку та дати оцінку за </w:t>
      </w:r>
      <w:r w:rsidRPr="00652684">
        <w:rPr>
          <w:rFonts w:ascii="Times New Roman" w:hAnsi="Times New Roman" w:cs="Times New Roman"/>
          <w:sz w:val="28"/>
          <w:szCs w:val="28"/>
        </w:rPr>
        <w:t>5-ти бальною шкалою оцінювання (з наростаючою вагою оцінки від 1 до 5). Результати аналізу подати у таблиці 1.1.</w:t>
      </w:r>
    </w:p>
    <w:p w:rsidR="00652684" w:rsidRPr="00652684" w:rsidRDefault="00652684" w:rsidP="00AF530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1.1.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9"/>
        <w:gridCol w:w="1524"/>
        <w:gridCol w:w="1524"/>
        <w:gridCol w:w="1524"/>
        <w:gridCol w:w="1524"/>
        <w:gridCol w:w="1524"/>
      </w:tblGrid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       Оцінка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Причини 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Завдання 1.2. 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Провести аналіз </w:t>
      </w:r>
      <w:r w:rsidRPr="00652684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умов </w:t>
      </w:r>
      <w:r w:rsidRPr="00652684">
        <w:rPr>
          <w:rFonts w:ascii="Times New Roman" w:hAnsi="Times New Roman" w:cs="Times New Roman"/>
          <w:sz w:val="28"/>
          <w:szCs w:val="28"/>
        </w:rPr>
        <w:t xml:space="preserve">виникнення та розвитку бухгалтерського обліку використовуючи 5-ти бальну шкалу оцінювання (з наростаючою вагою оцінки від 1 до 5). Результати аналізу подати у таблиці 1.2.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1.2.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       Оцінка</w:t>
            </w:r>
            <w:r w:rsidR="00AF53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left"/>
        <w:rPr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652684" w:rsidRPr="00652684" w:rsidRDefault="00652684" w:rsidP="00AF530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652684">
        <w:rPr>
          <w:rFonts w:ascii="Times New Roman" w:hAnsi="Times New Roman" w:cs="Times New Roman"/>
          <w:sz w:val="28"/>
          <w:szCs w:val="28"/>
        </w:rPr>
        <w:t>Облікова практика у Стародавньому світі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 xml:space="preserve">Завдання 2.1. Провести аналіз виникнення та розвитку облікової практики  у Стародавньому Єгипті та Вавилоні.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2.1.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Єгипет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Вавилон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Особи які займалися 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13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Практика обліку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Облікові  прилади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Першість в обліковій практиці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Завдання 2.2. Провести аналіз виникнення та розвитку облікової практики  у Стародавній Греції та Стародавньому Римі.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2.2.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316"/>
        <w:gridCol w:w="2551"/>
      </w:tblGrid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Стародавня Греція </w:t>
            </w:r>
          </w:p>
        </w:tc>
        <w:tc>
          <w:tcPr>
            <w:tcW w:w="2551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Рим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659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Особи які займалися обліковою практикою 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13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Практика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Облікові  прилади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Першість в обліковій практиці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Тема 3. Облікова практика в Українському Причорномор’ї в добу Античності.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Задання 3.1. Провести порівняльний аналіз умов виникнення та розвитку бухгалтерського обліку в Українському Причорномор’ї з аналогічним періодом у Стародавній Греції використовуючи таблицю 3.1.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Українське Причорномор’я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Стародавня Греція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Особи які займалися 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Товарно-грошові операції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Задання 3.2. Провести порівняльний аналіз умов виникнення та розвитку бухгалтерського обліку в Українському Причорномор’ї з аналогічним періодом у Стародавньому Римі використовуючи таблицю 3.2.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3.2.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15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Українське Причорномор’я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Рим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Особи які займалися</w:t>
            </w:r>
            <w:r w:rsidR="00AF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Товарно-грошові операції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01" w:rsidRDefault="00AF5301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01" w:rsidRDefault="00652684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Задання 3.3. Провести аналіз стандартизації господарських відносин у Київській Русі за даними Руської Правди і нинішнім законодавством використовуючи таблицю 3.3. Зробити висновки.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3.3.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518"/>
        <w:gridCol w:w="1067"/>
        <w:gridCol w:w="2829"/>
      </w:tblGrid>
      <w:tr w:rsidR="00652684" w:rsidRPr="00652684" w:rsidTr="00713218">
        <w:trPr>
          <w:trHeight w:val="1238"/>
        </w:trPr>
        <w:tc>
          <w:tcPr>
            <w:tcW w:w="1936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518" w:type="dxa"/>
          </w:tcPr>
          <w:p w:rsidR="00652684" w:rsidRPr="00652684" w:rsidRDefault="00652684" w:rsidP="00AF5301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Зміст відносин</w:t>
            </w: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Нормативно-правовий акт, що регулює ці відносини сьогодні</w:t>
            </w:r>
          </w:p>
        </w:tc>
      </w:tr>
      <w:tr w:rsidR="00652684" w:rsidRPr="00652684" w:rsidTr="00652684">
        <w:trPr>
          <w:cantSplit/>
          <w:trHeight w:val="1286"/>
        </w:trPr>
        <w:tc>
          <w:tcPr>
            <w:tcW w:w="193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418"/>
        </w:trPr>
        <w:tc>
          <w:tcPr>
            <w:tcW w:w="193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679"/>
        </w:trPr>
        <w:tc>
          <w:tcPr>
            <w:tcW w:w="1936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420"/>
        </w:trPr>
        <w:tc>
          <w:tcPr>
            <w:tcW w:w="1936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0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652684" w:rsidRPr="00652684" w:rsidRDefault="00652684" w:rsidP="00AF5301">
            <w:pPr>
              <w:pStyle w:val="k1"/>
              <w:spacing w:before="0" w:beforeAutospacing="0" w:after="0" w:afterAutospacing="0" w:line="48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F5301" w:rsidRDefault="00AF5301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F5301" w:rsidRDefault="00652684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>Задання 3.4. Провести аналіз таксування цін на домашніх тварин у Київській Русі за даними Руської Правди і нинішніми закупівельними цінами використовуючи таблицю 3.4. Зробити висновки.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Домашні тварини</w:t>
            </w: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Ціни за даними Руської Правди</w:t>
            </w: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Ціни за 2018 рік</w:t>
            </w: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  <w:r w:rsidRPr="00652684">
        <w:rPr>
          <w:b w:val="0"/>
          <w:color w:val="000000"/>
          <w:szCs w:val="28"/>
        </w:rPr>
        <w:lastRenderedPageBreak/>
        <w:t>Тема 4. Формування</w:t>
      </w:r>
      <w:r w:rsidRPr="00652684">
        <w:rPr>
          <w:b w:val="0"/>
          <w:szCs w:val="28"/>
        </w:rPr>
        <w:t xml:space="preserve"> та розвиток обліку на західно-українських землях 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4.1. Провести порівняльний аналіз змісту статуту цеху кушнірів із типовим сьогоднішнім статутом в Україні. Результати аналізу подати у таблиці</w:t>
      </w:r>
      <w:r>
        <w:rPr>
          <w:b w:val="0"/>
          <w:szCs w:val="28"/>
        </w:rPr>
        <w:t xml:space="preserve"> 4.1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t xml:space="preserve">Таблиця 4.1.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ind w:left="0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 xml:space="preserve">Статті статуту кушнірського цеху 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ind w:left="0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 xml:space="preserve">Статті статуту сучасного підприємства 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Pr="00652684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4.2. Провести порівняльний аналіз змісту облікових книг львівських купців Шульца і Боїма з книгою Матвія Гайдера. Результати аналізу подати у таблиці</w:t>
      </w:r>
      <w:r>
        <w:rPr>
          <w:b w:val="0"/>
          <w:szCs w:val="28"/>
        </w:rPr>
        <w:t xml:space="preserve"> 4.</w:t>
      </w:r>
      <w:r w:rsidR="00AF5301">
        <w:rPr>
          <w:b w:val="0"/>
          <w:szCs w:val="28"/>
        </w:rPr>
        <w:t>2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lastRenderedPageBreak/>
        <w:t>Таблиця 4.</w:t>
      </w:r>
      <w:r>
        <w:rPr>
          <w:b w:val="0"/>
          <w:szCs w:val="28"/>
        </w:rPr>
        <w:t>2</w:t>
      </w:r>
      <w:r w:rsidRPr="00652684">
        <w:rPr>
          <w:b w:val="0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>Облікова  книга Шульца і Боїма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>Облікова  книга Матвія Гайдера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Pr="00652684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4.3.</w:t>
      </w:r>
      <w:r w:rsidRPr="00652684">
        <w:rPr>
          <w:szCs w:val="28"/>
        </w:rPr>
        <w:t xml:space="preserve"> </w:t>
      </w:r>
      <w:r w:rsidRPr="00652684">
        <w:rPr>
          <w:b w:val="0"/>
          <w:szCs w:val="28"/>
        </w:rPr>
        <w:t>Провести порівняльний аналіз змісту облікових книг львівських купців з нормами законодавства, що регламентують аналогічні питання бухгалтерського обліку сьогодні в Україні. Результати аналізу подати у таблиці</w:t>
      </w:r>
      <w:r w:rsidR="00AF5301">
        <w:rPr>
          <w:b w:val="0"/>
          <w:szCs w:val="28"/>
        </w:rPr>
        <w:t xml:space="preserve"> 4.3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t>Таблиця 4.</w:t>
      </w:r>
      <w:r>
        <w:rPr>
          <w:b w:val="0"/>
          <w:szCs w:val="28"/>
        </w:rPr>
        <w:t>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Зміст облікових книг львівських купці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Норми законодавства, що регламентують аналогічні питання бухгалтерського обліку сьогодні в Україні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P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Підготував доц</w:t>
      </w:r>
      <w:r w:rsidRPr="002A3532">
        <w:rPr>
          <w:sz w:val="28"/>
          <w:szCs w:val="28"/>
        </w:rPr>
        <w:t>.</w:t>
      </w:r>
      <w:r>
        <w:rPr>
          <w:sz w:val="28"/>
          <w:szCs w:val="28"/>
        </w:rPr>
        <w:t>кафедри обліку і аудиту Гамкало О</w:t>
      </w:r>
      <w:r w:rsidRPr="00CE29C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2A3532">
        <w:rPr>
          <w:sz w:val="28"/>
          <w:szCs w:val="28"/>
        </w:rPr>
        <w:t>.</w:t>
      </w: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Pr="00652684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52684" w:rsidRPr="00652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C5"/>
    <w:rsid w:val="002A2FB2"/>
    <w:rsid w:val="002A3532"/>
    <w:rsid w:val="00652684"/>
    <w:rsid w:val="00AF5301"/>
    <w:rsid w:val="00CC2EC5"/>
    <w:rsid w:val="00CE29C4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AE8"/>
  <w15:chartTrackingRefBased/>
  <w15:docId w15:val="{BA21DD58-2BA6-45E9-897F-B732956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EC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CC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CC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CC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rsid w:val="00652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">
    <w:name w:val="k1"/>
    <w:basedOn w:val="a"/>
    <w:rsid w:val="006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Знак Знак Знак Знак Знак Знак"/>
    <w:basedOn w:val="a"/>
    <w:rsid w:val="0065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3A09-20DF-4340-AC28-167CAF1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Oleh Yulian</cp:lastModifiedBy>
  <cp:revision>4</cp:revision>
  <dcterms:created xsi:type="dcterms:W3CDTF">2019-11-10T16:34:00Z</dcterms:created>
  <dcterms:modified xsi:type="dcterms:W3CDTF">2023-03-13T04:44:00Z</dcterms:modified>
</cp:coreProperties>
</file>