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68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="001670CD">
        <w:rPr>
          <w:rFonts w:ascii="Garamond" w:eastAsia="Times New Roman" w:hAnsi="Garamond" w:cs="Garamond"/>
          <w:b/>
          <w:color w:val="000000"/>
          <w:sz w:val="28"/>
          <w:szCs w:val="28"/>
        </w:rPr>
        <w:t>економічний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 w:rsidR="001670CD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інформаційних систем у менеджменті</w:t>
      </w: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3A5DE5" w:rsidRDefault="00B22568" w:rsidP="00B22568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B22568" w:rsidRPr="001670CD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1670CD" w:rsidRPr="001670CD">
        <w:rPr>
          <w:rFonts w:ascii="Times New Roman" w:hAnsi="Times New Roman"/>
          <w:sz w:val="24"/>
          <w:szCs w:val="24"/>
        </w:rPr>
        <w:t>інформаційних систем у менеджменті</w:t>
      </w:r>
    </w:p>
    <w:p w:rsidR="00B22568" w:rsidRPr="001670CD" w:rsidRDefault="001670CD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 xml:space="preserve">економічного </w:t>
      </w:r>
      <w:r w:rsidR="00B22568" w:rsidRPr="001670CD">
        <w:rPr>
          <w:rFonts w:ascii="Times New Roman" w:hAnsi="Times New Roman"/>
          <w:sz w:val="24"/>
          <w:szCs w:val="24"/>
        </w:rPr>
        <w:t xml:space="preserve">факультету </w:t>
      </w:r>
    </w:p>
    <w:p w:rsidR="00B22568" w:rsidRPr="00CE03B1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B22568" w:rsidRPr="00CE03B1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>(протокол № ____ від _______ 20</w:t>
      </w:r>
      <w:r>
        <w:rPr>
          <w:rFonts w:ascii="Times New Roman" w:hAnsi="Times New Roman"/>
          <w:sz w:val="24"/>
          <w:szCs w:val="24"/>
        </w:rPr>
        <w:t>__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="001670CD">
        <w:rPr>
          <w:rFonts w:ascii="Times New Roman" w:hAnsi="Times New Roman"/>
          <w:sz w:val="24"/>
          <w:szCs w:val="24"/>
        </w:rPr>
        <w:t>_________/В. Приймак/</w:t>
      </w:r>
      <w:r w:rsidRPr="00CE03B1">
        <w:rPr>
          <w:rFonts w:ascii="Times New Roman" w:hAnsi="Times New Roman"/>
          <w:sz w:val="24"/>
          <w:szCs w:val="24"/>
        </w:rPr>
        <w:t xml:space="preserve"> </w:t>
      </w: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1670CD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B22568" w:rsidRPr="00F04DC8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з навчальної </w:t>
      </w:r>
      <w:r w:rsidRPr="00F04DC8">
        <w:rPr>
          <w:rFonts w:ascii="Times New Roman" w:eastAsia="Times New Roman" w:hAnsi="Times New Roman"/>
          <w:b/>
          <w:color w:val="000000"/>
          <w:sz w:val="32"/>
          <w:szCs w:val="32"/>
        </w:rPr>
        <w:t>дисципліни «</w:t>
      </w:r>
      <w:r w:rsidR="0094526D" w:rsidRPr="0094526D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Основи </w:t>
      </w:r>
      <w:proofErr w:type="spellStart"/>
      <w:r w:rsidR="0094526D" w:rsidRPr="0094526D">
        <w:rPr>
          <w:rFonts w:ascii="Times New Roman" w:eastAsia="Times New Roman" w:hAnsi="Times New Roman"/>
          <w:b/>
          <w:color w:val="000000"/>
          <w:sz w:val="32"/>
          <w:szCs w:val="32"/>
        </w:rPr>
        <w:t>block-chain</w:t>
      </w:r>
      <w:proofErr w:type="spellEnd"/>
      <w:r w:rsidR="0094526D" w:rsidRPr="0094526D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технології</w:t>
      </w:r>
      <w:r w:rsidRPr="00F04DC8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:rsidR="00B22568" w:rsidRPr="00B75914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</w:t>
      </w:r>
      <w:r w:rsidR="00870953">
        <w:rPr>
          <w:rFonts w:ascii="Times New Roman" w:eastAsia="Times New Roman" w:hAnsi="Times New Roman"/>
          <w:b/>
          <w:color w:val="000000"/>
          <w:sz w:val="32"/>
          <w:szCs w:val="32"/>
        </w:rPr>
        <w:t>другого</w:t>
      </w:r>
      <w:r w:rsidR="00CF678C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(</w:t>
      </w:r>
      <w:r w:rsidR="00870953">
        <w:rPr>
          <w:rFonts w:ascii="Times New Roman" w:eastAsia="Times New Roman" w:hAnsi="Times New Roman"/>
          <w:b/>
          <w:color w:val="000000"/>
          <w:sz w:val="32"/>
          <w:szCs w:val="32"/>
        </w:rPr>
        <w:t>магістерського</w:t>
      </w:r>
      <w:r w:rsidR="00CF678C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) рівня вищої освіти </w:t>
      </w:r>
      <w:r w:rsidR="00CF678C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для здобувачів зі </w:t>
      </w:r>
      <w:r w:rsidR="00CF678C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спеціальності</w:t>
      </w:r>
      <w:r w:rsidR="00CF678C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870953">
        <w:rPr>
          <w:rFonts w:ascii="Times New Roman" w:eastAsia="Times New Roman" w:hAnsi="Times New Roman"/>
          <w:b/>
          <w:color w:val="000000"/>
          <w:sz w:val="32"/>
          <w:szCs w:val="32"/>
        </w:rPr>
        <w:t>122</w:t>
      </w:r>
      <w:r w:rsidR="00EC36D2" w:rsidRPr="00EC36D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«</w:t>
      </w:r>
      <w:r w:rsidR="00870953" w:rsidRPr="00870953">
        <w:rPr>
          <w:rFonts w:ascii="Times New Roman" w:eastAsia="Times New Roman" w:hAnsi="Times New Roman"/>
          <w:b/>
          <w:color w:val="000000"/>
          <w:sz w:val="32"/>
          <w:szCs w:val="32"/>
        </w:rPr>
        <w:t>Комп’ютерні науки</w:t>
      </w:r>
      <w:r w:rsidR="00EC36D2" w:rsidRPr="00EC36D2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="00EC36D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870953">
        <w:rPr>
          <w:rFonts w:ascii="Times New Roman" w:eastAsia="Times New Roman" w:hAnsi="Times New Roman"/>
          <w:b/>
          <w:color w:val="000000"/>
          <w:sz w:val="32"/>
          <w:szCs w:val="32"/>
        </w:rPr>
        <w:t>освітньо-професійної</w:t>
      </w:r>
      <w:r w:rsidR="007C0C6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програми</w:t>
      </w:r>
      <w:r w:rsidR="00EC36D2" w:rsidRPr="00EC36D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«</w:t>
      </w:r>
      <w:r w:rsidR="00870953" w:rsidRPr="00870953">
        <w:rPr>
          <w:rFonts w:ascii="Times New Roman" w:eastAsia="Times New Roman" w:hAnsi="Times New Roman"/>
          <w:b/>
          <w:color w:val="000000"/>
          <w:sz w:val="32"/>
          <w:szCs w:val="32"/>
        </w:rPr>
        <w:t>Консолідована інформація</w:t>
      </w:r>
      <w:r w:rsidR="00EC36D2" w:rsidRPr="00EC36D2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6A6169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6A6169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1670CD">
        <w:rPr>
          <w:rFonts w:ascii="Times New Roman" w:eastAsia="Times New Roman" w:hAnsi="Times New Roman"/>
          <w:b/>
          <w:sz w:val="24"/>
          <w:szCs w:val="24"/>
        </w:rPr>
        <w:t>202</w:t>
      </w:r>
      <w:r w:rsidR="007C0C64">
        <w:rPr>
          <w:rFonts w:ascii="Times New Roman" w:eastAsia="Times New Roman" w:hAnsi="Times New Roman"/>
          <w:b/>
          <w:sz w:val="24"/>
          <w:szCs w:val="24"/>
        </w:rPr>
        <w:t>3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:rsidR="001670CD" w:rsidRDefault="001670CD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B22568" w:rsidRPr="006A6169" w:rsidRDefault="00B22568" w:rsidP="00B225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060" w:type="dxa"/>
        <w:tblLook w:val="0000" w:firstRow="0" w:lastRow="0" w:firstColumn="0" w:lastColumn="0" w:noHBand="0" w:noVBand="0"/>
      </w:tblPr>
      <w:tblGrid>
        <w:gridCol w:w="2744"/>
        <w:gridCol w:w="7316"/>
      </w:tblGrid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94526D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26D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Основи </w:t>
            </w:r>
            <w:proofErr w:type="spellStart"/>
            <w:r w:rsidRPr="0094526D">
              <w:rPr>
                <w:rFonts w:ascii="Times New Roman" w:eastAsia="Times New Roman" w:hAnsi="Times New Roman"/>
                <w:sz w:val="24"/>
                <w:szCs w:val="24"/>
              </w:rPr>
              <w:t>block-chain</w:t>
            </w:r>
            <w:proofErr w:type="spellEnd"/>
            <w:r w:rsidRPr="0094526D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технології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6B694C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 Львів, проспект Свободи, 18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2A56D4" w:rsidP="00DC55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>кономічний факультет, кафедра інформаційних систем у менеджменті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6D" w:rsidRPr="00CF678C" w:rsidRDefault="0094526D" w:rsidP="009452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678C">
              <w:rPr>
                <w:rFonts w:ascii="Times New Roman" w:hAnsi="Times New Roman"/>
              </w:rPr>
              <w:t xml:space="preserve">галузі знань </w:t>
            </w:r>
            <w:r w:rsidRPr="006B0596">
              <w:rPr>
                <w:rFonts w:ascii="Times New Roman" w:hAnsi="Times New Roman"/>
              </w:rPr>
              <w:t>12 «Інформаційні технології»</w:t>
            </w:r>
          </w:p>
          <w:p w:rsidR="0094526D" w:rsidRDefault="0094526D" w:rsidP="009452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D2">
              <w:rPr>
                <w:rFonts w:ascii="Times New Roman" w:hAnsi="Times New Roman"/>
              </w:rPr>
              <w:t xml:space="preserve">спеціальності </w:t>
            </w:r>
            <w:r w:rsidRPr="006B0596">
              <w:rPr>
                <w:rFonts w:ascii="Times New Roman" w:hAnsi="Times New Roman"/>
              </w:rPr>
              <w:t>122 «Комп’ютерні науки»</w:t>
            </w:r>
          </w:p>
          <w:p w:rsidR="00B22568" w:rsidRPr="0095225B" w:rsidRDefault="0094526D" w:rsidP="009452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освітньо-професійної програми</w:t>
            </w:r>
            <w:r w:rsidRPr="00EC36D2">
              <w:rPr>
                <w:rFonts w:ascii="Times New Roman" w:hAnsi="Times New Roman"/>
              </w:rPr>
              <w:t xml:space="preserve"> </w:t>
            </w:r>
            <w:r w:rsidRPr="006B0596">
              <w:rPr>
                <w:rFonts w:ascii="Times New Roman" w:hAnsi="Times New Roman"/>
              </w:rPr>
              <w:t>«Консолідована інформація»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C91729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Белз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Олександра Григо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>рівна, кандидат економічних наук, доцент кафедри інформаційних систем у менеджменті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0A40E9" w:rsidRDefault="006B694C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0E9">
              <w:rPr>
                <w:rStyle w:val="value"/>
                <w:rFonts w:ascii="Times New Roman" w:hAnsi="Times New Roman"/>
                <w:sz w:val="24"/>
                <w:szCs w:val="24"/>
              </w:rPr>
              <w:t>oleksandra.belz@lnu.edu.ua,</w:t>
            </w:r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econom.lnu.edu.ua/</w:t>
            </w:r>
            <w:proofErr w:type="spellStart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employee</w:t>
            </w:r>
            <w:proofErr w:type="spellEnd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belz</w:t>
            </w:r>
            <w:proofErr w:type="spellEnd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-o-h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Консультації в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 xml:space="preserve">середовищі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MS</w:t>
            </w:r>
            <w:r w:rsidR="006B694C" w:rsidRPr="006B69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Teams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погодження часу он-лайн консультацій слід писати на електронну пошту викладача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AB1056" w:rsidRDefault="00B22568" w:rsidP="00C54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056">
              <w:rPr>
                <w:rFonts w:ascii="Times New Roman" w:eastAsia="Times New Roman" w:hAnsi="Times New Roman"/>
                <w:sz w:val="24"/>
                <w:szCs w:val="24"/>
              </w:rPr>
              <w:t xml:space="preserve">Курс </w:t>
            </w:r>
            <w:r w:rsidRPr="00C5445E">
              <w:rPr>
                <w:rFonts w:ascii="Times New Roman" w:eastAsia="Times New Roman" w:hAnsi="Times New Roman"/>
                <w:sz w:val="24"/>
                <w:szCs w:val="24"/>
              </w:rPr>
              <w:t xml:space="preserve">розроблено таким чином, щоб надати учасникам </w:t>
            </w:r>
            <w:r w:rsidR="00AB1056" w:rsidRPr="00C5445E">
              <w:rPr>
                <w:rFonts w:ascii="Times New Roman" w:eastAsia="Times New Roman" w:hAnsi="Times New Roman"/>
                <w:sz w:val="24"/>
                <w:szCs w:val="24"/>
              </w:rPr>
              <w:t xml:space="preserve">необхідні знання для </w:t>
            </w:r>
            <w:r w:rsidR="00AB1056" w:rsidRPr="00C5445E">
              <w:rPr>
                <w:rFonts w:ascii="Times New Roman" w:hAnsi="Times New Roman"/>
                <w:sz w:val="24"/>
              </w:rPr>
              <w:t xml:space="preserve">вивчення </w:t>
            </w:r>
            <w:r w:rsidR="00C5445E" w:rsidRPr="00C5445E">
              <w:rPr>
                <w:rFonts w:ascii="Times New Roman" w:hAnsi="Times New Roman"/>
                <w:sz w:val="24"/>
              </w:rPr>
              <w:t xml:space="preserve">сучасних підходів та принципів роботи </w:t>
            </w:r>
            <w:proofErr w:type="spellStart"/>
            <w:r w:rsidR="00C5445E" w:rsidRPr="00C5445E">
              <w:rPr>
                <w:rFonts w:ascii="Times New Roman" w:hAnsi="Times New Roman"/>
                <w:sz w:val="24"/>
              </w:rPr>
              <w:t>блокчейн</w:t>
            </w:r>
            <w:proofErr w:type="spellEnd"/>
            <w:r w:rsidR="00C5445E" w:rsidRPr="00C5445E">
              <w:rPr>
                <w:rFonts w:ascii="Times New Roman" w:hAnsi="Times New Roman"/>
                <w:sz w:val="24"/>
              </w:rPr>
              <w:t xml:space="preserve">-систем. У рамках курсу розглядаються ключові аспекти, такі як блоки, алгоритми консенсусу, криптографія та безпека смарт-контрактів. Студенти отримують знання про функціонування інфраструктури </w:t>
            </w:r>
            <w:proofErr w:type="spellStart"/>
            <w:r w:rsidR="00C5445E" w:rsidRPr="00C5445E">
              <w:rPr>
                <w:rFonts w:ascii="Times New Roman" w:hAnsi="Times New Roman"/>
                <w:sz w:val="24"/>
              </w:rPr>
              <w:t>блокчейн</w:t>
            </w:r>
            <w:proofErr w:type="spellEnd"/>
            <w:r w:rsidR="00C5445E" w:rsidRPr="00C5445E">
              <w:rPr>
                <w:rFonts w:ascii="Times New Roman" w:hAnsi="Times New Roman"/>
                <w:sz w:val="24"/>
              </w:rPr>
              <w:t xml:space="preserve">, процес створення смарт-контрактів на </w:t>
            </w:r>
            <w:proofErr w:type="spellStart"/>
            <w:r w:rsidR="00C5445E" w:rsidRPr="00C5445E">
              <w:rPr>
                <w:rFonts w:ascii="Times New Roman" w:hAnsi="Times New Roman"/>
                <w:sz w:val="24"/>
              </w:rPr>
              <w:t>блокчейні</w:t>
            </w:r>
            <w:proofErr w:type="spellEnd"/>
            <w:r w:rsidR="00C5445E" w:rsidRPr="00C5445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5445E" w:rsidRPr="00C5445E">
              <w:rPr>
                <w:rFonts w:ascii="Times New Roman" w:hAnsi="Times New Roman"/>
                <w:sz w:val="24"/>
              </w:rPr>
              <w:t>Ethereum</w:t>
            </w:r>
            <w:proofErr w:type="spellEnd"/>
            <w:r w:rsidR="00C5445E" w:rsidRPr="00C5445E">
              <w:rPr>
                <w:rFonts w:ascii="Times New Roman" w:hAnsi="Times New Roman"/>
                <w:sz w:val="24"/>
              </w:rPr>
              <w:t xml:space="preserve"> та важливість безпеки смарт-контрактів.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317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1C7AA3" w:rsidRPr="0094526D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Основи </w:t>
            </w:r>
            <w:proofErr w:type="spellStart"/>
            <w:r w:rsidR="001C7AA3" w:rsidRPr="0094526D">
              <w:rPr>
                <w:rFonts w:ascii="Times New Roman" w:eastAsia="Times New Roman" w:hAnsi="Times New Roman"/>
                <w:sz w:val="24"/>
                <w:szCs w:val="24"/>
              </w:rPr>
              <w:t>block-chain</w:t>
            </w:r>
            <w:proofErr w:type="spellEnd"/>
            <w:r w:rsidR="001C7AA3" w:rsidRPr="0094526D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технології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317579">
              <w:rPr>
                <w:rFonts w:ascii="Times New Roman" w:eastAsia="Times New Roman" w:hAnsi="Times New Roman"/>
                <w:sz w:val="24"/>
                <w:szCs w:val="24"/>
              </w:rPr>
              <w:t>нормативною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дисципліною з спеціальності</w:t>
            </w:r>
            <w:r w:rsidR="009865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214C1">
              <w:rPr>
                <w:rFonts w:ascii="Times New Roman" w:hAnsi="Times New Roman"/>
              </w:rPr>
              <w:t>122</w:t>
            </w:r>
            <w:r w:rsidR="00A11C41" w:rsidRPr="00EC36D2">
              <w:rPr>
                <w:rFonts w:ascii="Times New Roman" w:hAnsi="Times New Roman"/>
              </w:rPr>
              <w:t xml:space="preserve"> «</w:t>
            </w:r>
            <w:r w:rsidR="005214C1" w:rsidRPr="005214C1">
              <w:rPr>
                <w:rFonts w:ascii="Times New Roman" w:hAnsi="Times New Roman"/>
              </w:rPr>
              <w:t>Комп’ютерні науки</w:t>
            </w:r>
            <w:r w:rsidR="00A11C41" w:rsidRPr="00EC36D2">
              <w:rPr>
                <w:rFonts w:ascii="Times New Roman" w:hAnsi="Times New Roman"/>
              </w:rPr>
              <w:t xml:space="preserve">» </w:t>
            </w:r>
            <w:r w:rsidR="007C0C64">
              <w:rPr>
                <w:rFonts w:ascii="Times New Roman" w:hAnsi="Times New Roman"/>
              </w:rPr>
              <w:t>освітньо</w:t>
            </w:r>
            <w:r w:rsidR="005214C1">
              <w:rPr>
                <w:rFonts w:ascii="Times New Roman" w:hAnsi="Times New Roman"/>
              </w:rPr>
              <w:t>-професійно</w:t>
            </w:r>
            <w:r w:rsidR="007C0C64">
              <w:rPr>
                <w:rFonts w:ascii="Times New Roman" w:hAnsi="Times New Roman"/>
              </w:rPr>
              <w:t>ї програми</w:t>
            </w:r>
            <w:r w:rsidR="00EF7D84" w:rsidRPr="00EC36D2">
              <w:rPr>
                <w:rFonts w:ascii="Times New Roman" w:hAnsi="Times New Roman"/>
              </w:rPr>
              <w:t xml:space="preserve"> «</w:t>
            </w:r>
            <w:r w:rsidR="005214C1" w:rsidRPr="005214C1">
              <w:rPr>
                <w:rFonts w:ascii="Times New Roman" w:hAnsi="Times New Roman"/>
              </w:rPr>
              <w:t>Консолідована інформація</w:t>
            </w:r>
            <w:r w:rsidR="00EF7D84" w:rsidRPr="00EC36D2">
              <w:rPr>
                <w:rFonts w:ascii="Times New Roman" w:hAnsi="Times New Roman"/>
              </w:rPr>
              <w:t>»</w:t>
            </w:r>
            <w:r w:rsidR="00EF7D84">
              <w:rPr>
                <w:rFonts w:ascii="Times New Roman" w:hAnsi="Times New Roman"/>
              </w:rPr>
              <w:t xml:space="preserve"> 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для освітньої програми </w:t>
            </w:r>
            <w:r w:rsidR="00315A00">
              <w:rPr>
                <w:rFonts w:ascii="Times New Roman" w:eastAsia="Times New Roman" w:hAnsi="Times New Roman"/>
                <w:sz w:val="24"/>
                <w:szCs w:val="24"/>
              </w:rPr>
              <w:t xml:space="preserve">підготовки </w:t>
            </w:r>
            <w:r w:rsidR="005214C1">
              <w:rPr>
                <w:rFonts w:ascii="Times New Roman" w:eastAsia="Times New Roman" w:hAnsi="Times New Roman"/>
                <w:sz w:val="24"/>
                <w:szCs w:val="24"/>
              </w:rPr>
              <w:t>магістрів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C91729">
              <w:rPr>
                <w:rFonts w:ascii="Times New Roman" w:eastAsia="Times New Roman" w:hAnsi="Times New Roman"/>
                <w:sz w:val="24"/>
                <w:szCs w:val="24"/>
              </w:rPr>
              <w:t>1 (9)</w:t>
            </w:r>
            <w:r w:rsidR="009865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1C7AA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</w:t>
            </w:r>
            <w:r w:rsidR="00786DF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(за Європейською Кред</w:t>
            </w:r>
            <w:r w:rsidR="00FB36CB">
              <w:rPr>
                <w:rFonts w:ascii="Times New Roman" w:eastAsia="Times New Roman" w:hAnsi="Times New Roman"/>
                <w:sz w:val="24"/>
                <w:szCs w:val="24"/>
              </w:rPr>
              <w:t>итно-Трансферною Системою ECTS)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C91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Метою вивчення дисципліни </w:t>
            </w:r>
            <w:r w:rsidR="0000788D" w:rsidRPr="0000788D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1C7AA3" w:rsidRPr="0094526D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Основи </w:t>
            </w:r>
            <w:proofErr w:type="spellStart"/>
            <w:r w:rsidR="001C7AA3" w:rsidRPr="0094526D">
              <w:rPr>
                <w:rFonts w:ascii="Times New Roman" w:eastAsia="Times New Roman" w:hAnsi="Times New Roman"/>
                <w:sz w:val="24"/>
                <w:szCs w:val="24"/>
              </w:rPr>
              <w:t>block-chain</w:t>
            </w:r>
            <w:proofErr w:type="spellEnd"/>
            <w:r w:rsidR="001C7AA3" w:rsidRPr="0094526D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технології</w:t>
            </w:r>
            <w:r w:rsidR="0000788D" w:rsidRPr="0000788D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 xml:space="preserve">отримання студентами розуміння технології </w:t>
            </w:r>
            <w:proofErr w:type="spellStart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>блокчейн</w:t>
            </w:r>
            <w:proofErr w:type="spellEnd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 xml:space="preserve">, її потенційних застосувань і вміння використовувати ці знання для розв'язання практичних завдань та проблем. Дисципліна дає розуміння технології </w:t>
            </w:r>
            <w:proofErr w:type="spellStart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>блокчейн</w:t>
            </w:r>
            <w:proofErr w:type="spellEnd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 xml:space="preserve">, її принципів та концепцій, знання про можливості застосування </w:t>
            </w:r>
            <w:proofErr w:type="spellStart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>блокчейн</w:t>
            </w:r>
            <w:proofErr w:type="spellEnd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 xml:space="preserve">-технології в різних сферах, навички розробки додатків на </w:t>
            </w:r>
            <w:proofErr w:type="spellStart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>блокчейні</w:t>
            </w:r>
            <w:proofErr w:type="spellEnd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 xml:space="preserve"> та реалізації смарт-контрактів, розуміння проблем безпеки та конфіденційності, пов'язаних з використанням </w:t>
            </w:r>
            <w:proofErr w:type="spellStart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>блокчейн</w:t>
            </w:r>
            <w:proofErr w:type="spellEnd"/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A3" w:rsidRPr="001C7AA3" w:rsidRDefault="001C7AA3" w:rsidP="001C7AA3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Блокчейн</w:t>
            </w:r>
            <w:proofErr w:type="spellEnd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і децентралізовані системи: </w:t>
            </w:r>
            <w:proofErr w:type="spellStart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посіб</w:t>
            </w:r>
            <w:proofErr w:type="spellEnd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для студентів </w:t>
            </w:r>
            <w:proofErr w:type="spellStart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закл</w:t>
            </w:r>
            <w:proofErr w:type="spellEnd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вищ</w:t>
            </w:r>
            <w:proofErr w:type="spellEnd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освіти : у 3 ч. Ч. 1 / П. Кравченко, Б. Скрябін, О. </w:t>
            </w:r>
            <w:proofErr w:type="spellStart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Дубініна</w:t>
            </w:r>
            <w:proofErr w:type="spellEnd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– Харків : ПРОМАРТ, 2021. – 458 с.</w:t>
            </w:r>
          </w:p>
          <w:p w:rsidR="001C7AA3" w:rsidRPr="001C7AA3" w:rsidRDefault="001C7AA3" w:rsidP="001C7AA3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Блокчейн</w:t>
            </w:r>
            <w:proofErr w:type="spellEnd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і децентралізовані системи: </w:t>
            </w:r>
            <w:proofErr w:type="spellStart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посіб</w:t>
            </w:r>
            <w:proofErr w:type="spellEnd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для студентів </w:t>
            </w:r>
            <w:proofErr w:type="spellStart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закл</w:t>
            </w:r>
            <w:proofErr w:type="spellEnd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вищ</w:t>
            </w:r>
            <w:proofErr w:type="spellEnd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освіти : у 3 ч. Ч. 2 / П. Кравченко [та ін.]. – Харків : ПРОМАРТ, 2021. – 420 с.</w:t>
            </w:r>
          </w:p>
          <w:p w:rsidR="001C7AA3" w:rsidRPr="001C7AA3" w:rsidRDefault="001C7AA3" w:rsidP="001C7AA3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Блокчейн</w:t>
            </w:r>
            <w:proofErr w:type="spellEnd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і децентралізовані системи: </w:t>
            </w:r>
            <w:proofErr w:type="spellStart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посіб</w:t>
            </w:r>
            <w:proofErr w:type="spellEnd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для студентів </w:t>
            </w:r>
            <w:proofErr w:type="spellStart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закл</w:t>
            </w:r>
            <w:proofErr w:type="spellEnd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вищ</w:t>
            </w:r>
            <w:proofErr w:type="spellEnd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освіти : у 3 ч. Ч. 3 / П. Кравченко [та ін.]. – Харків : ПРОМАРТ, 2021. – 329 с.</w:t>
            </w:r>
          </w:p>
          <w:p w:rsidR="001C7AA3" w:rsidRPr="001C7AA3" w:rsidRDefault="001C7AA3" w:rsidP="001C7AA3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Ковальчук Л. В. Вступ до технології </w:t>
            </w:r>
            <w:proofErr w:type="spellStart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блокчейн</w:t>
            </w:r>
            <w:proofErr w:type="spellEnd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криптовалют</w:t>
            </w:r>
            <w:proofErr w:type="spellEnd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Частина 1. Теоретичні засади функціонування </w:t>
            </w:r>
            <w:proofErr w:type="spellStart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блокчейн</w:t>
            </w:r>
            <w:proofErr w:type="spellEnd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-технологій: </w:t>
            </w:r>
            <w:proofErr w:type="spellStart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посіб</w:t>
            </w:r>
            <w:proofErr w:type="spellEnd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[Електронне мережне н </w:t>
            </w:r>
            <w:proofErr w:type="spellStart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авчальне</w:t>
            </w:r>
            <w:proofErr w:type="spellEnd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видання] / Л. В. Ковальчук, А. М. </w:t>
            </w:r>
            <w:proofErr w:type="spellStart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Кудін</w:t>
            </w:r>
            <w:proofErr w:type="spellEnd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Н. В. </w:t>
            </w:r>
            <w:proofErr w:type="spellStart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Кучинська</w:t>
            </w:r>
            <w:proofErr w:type="spellEnd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– Київ. КПІ ім. Ігоря Сікорського. – 141 с.</w:t>
            </w:r>
          </w:p>
          <w:p w:rsidR="001C7AA3" w:rsidRPr="001C7AA3" w:rsidRDefault="001C7AA3" w:rsidP="001C7AA3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Кудин</w:t>
            </w:r>
            <w:proofErr w:type="spellEnd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А.М. </w:t>
            </w:r>
            <w:proofErr w:type="spellStart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Блокчейн</w:t>
            </w:r>
            <w:proofErr w:type="spellEnd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криптовалюты</w:t>
            </w:r>
            <w:proofErr w:type="spellEnd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основании</w:t>
            </w:r>
            <w:proofErr w:type="spellEnd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доказательства</w:t>
            </w:r>
            <w:proofErr w:type="spellEnd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точности</w:t>
            </w:r>
            <w:proofErr w:type="spellEnd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».// Математичне та комп’ютерне моделювання. Серія: технічні науки: збірник наукових праць. Кам’янець-Подільський Національний університет імені Івана Огієнка, вип.15, 2017р., </w:t>
            </w:r>
            <w:proofErr w:type="spellStart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стор</w:t>
            </w:r>
            <w:proofErr w:type="spellEnd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104-108.</w:t>
            </w:r>
          </w:p>
          <w:p w:rsidR="001C7AA3" w:rsidRPr="001C7AA3" w:rsidRDefault="001C7AA3" w:rsidP="001C7AA3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Офіційний сайт </w:t>
            </w:r>
            <w:proofErr w:type="spellStart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Bitcoin</w:t>
            </w:r>
            <w:proofErr w:type="spellEnd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[Електронний ресурс]. – Режим доступу: https://bitcoin.org/uk/</w:t>
            </w:r>
          </w:p>
          <w:p w:rsidR="001C7AA3" w:rsidRPr="001C7AA3" w:rsidRDefault="001C7AA3" w:rsidP="001C7AA3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Офіційний сайт </w:t>
            </w:r>
            <w:proofErr w:type="spellStart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Blockchain</w:t>
            </w:r>
            <w:proofErr w:type="spellEnd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Academy</w:t>
            </w:r>
            <w:proofErr w:type="spellEnd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Mittweida</w:t>
            </w:r>
            <w:proofErr w:type="spellEnd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(BCAM) [Електронний ресурс]. – Режим доступу: https://blockchain-academy.hs-mittweida.de</w:t>
            </w:r>
          </w:p>
          <w:p w:rsidR="001C7AA3" w:rsidRPr="001C7AA3" w:rsidRDefault="001C7AA3" w:rsidP="001C7AA3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Офіційний сайт </w:t>
            </w:r>
            <w:proofErr w:type="spellStart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Ethereum</w:t>
            </w:r>
            <w:proofErr w:type="spellEnd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[Електронний ресурс]. – Режим доступу: https://ethereum.org/uk/</w:t>
            </w:r>
          </w:p>
          <w:p w:rsidR="001C7AA3" w:rsidRPr="001C7AA3" w:rsidRDefault="001C7AA3" w:rsidP="001C7AA3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Офіційний сайт </w:t>
            </w:r>
            <w:proofErr w:type="spellStart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Solidity</w:t>
            </w:r>
            <w:proofErr w:type="spellEnd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[Електронний ресурс]. – Режим доступу: https://soliditylang.org/</w:t>
            </w:r>
          </w:p>
          <w:p w:rsidR="001C7AA3" w:rsidRPr="001C7AA3" w:rsidRDefault="001C7AA3" w:rsidP="001C7AA3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Сервіс моніторингу блоків і транзакцій </w:t>
            </w:r>
            <w:proofErr w:type="spellStart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Bitcoin</w:t>
            </w:r>
            <w:proofErr w:type="spellEnd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[Електронний ресурс]. – Режим доступу: https://www.blockchain.com/explorer</w:t>
            </w:r>
          </w:p>
          <w:p w:rsidR="00B22568" w:rsidRPr="001B690F" w:rsidRDefault="001C7AA3" w:rsidP="001C7AA3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0" w:firstLine="36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Сервіс моніторингу блоків і транзакцій </w:t>
            </w:r>
            <w:proofErr w:type="spellStart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Ethereum</w:t>
            </w:r>
            <w:proofErr w:type="spellEnd"/>
            <w:r w:rsidRPr="001C7A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[Електронний ресурс]. – Режим доступу: https://etherscan.io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1C7AA3" w:rsidP="001C7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  <w:r w:rsidR="007C0C64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B22568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 w:rsid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, з 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>них</w:t>
            </w:r>
            <w:r w:rsidR="009B21A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="00945F8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лекцій,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</w:t>
            </w:r>
            <w:r w:rsidR="00D76FDF">
              <w:rPr>
                <w:rFonts w:ascii="Times New Roman" w:eastAsia="Times New Roman" w:hAnsi="Times New Roman"/>
                <w:sz w:val="24"/>
                <w:szCs w:val="24"/>
              </w:rPr>
              <w:t>лабораторних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 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="004C01F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самостійної роботи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Після заве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>ршення цього курсу студент буде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B22568" w:rsidRPr="001C7AA3" w:rsidRDefault="009B21A1" w:rsidP="00CF16F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1A1">
              <w:rPr>
                <w:rFonts w:ascii="Times New Roman" w:eastAsia="Times New Roman" w:hAnsi="Times New Roman"/>
                <w:b/>
                <w:sz w:val="24"/>
                <w:szCs w:val="24"/>
              </w:rPr>
              <w:t>Знати</w:t>
            </w:r>
            <w:r w:rsidRP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 xml:space="preserve">історію розвитку технології </w:t>
            </w:r>
            <w:proofErr w:type="spellStart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>блокчейн</w:t>
            </w:r>
            <w:proofErr w:type="spellEnd"/>
            <w:r w:rsidR="001C7AA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 xml:space="preserve">поняття та принцип роботи технології </w:t>
            </w:r>
            <w:proofErr w:type="spellStart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>блокчейн</w:t>
            </w:r>
            <w:proofErr w:type="spellEnd"/>
            <w:r w:rsidR="001C7AA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>тилему</w:t>
            </w:r>
            <w:proofErr w:type="spellEnd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>блокчейну</w:t>
            </w:r>
            <w:proofErr w:type="spellEnd"/>
            <w:r w:rsidR="001C7AA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 xml:space="preserve">види мереж </w:t>
            </w:r>
            <w:proofErr w:type="spellStart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>блокчейн</w:t>
            </w:r>
            <w:proofErr w:type="spellEnd"/>
            <w:r w:rsidR="001C7AA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 xml:space="preserve">поняття консенсусу </w:t>
            </w:r>
            <w:proofErr w:type="spellStart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>блокчейн</w:t>
            </w:r>
            <w:proofErr w:type="spellEnd"/>
            <w:r w:rsidR="001C7AA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принципи роботи алгоритмів </w:t>
            </w:r>
            <w:proofErr w:type="spellStart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>PoW</w:t>
            </w:r>
            <w:proofErr w:type="spellEnd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>PoS</w:t>
            </w:r>
            <w:proofErr w:type="spellEnd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>DPoS</w:t>
            </w:r>
            <w:proofErr w:type="spellEnd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>NPoS</w:t>
            </w:r>
            <w:proofErr w:type="spellEnd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>PoSA</w:t>
            </w:r>
            <w:proofErr w:type="spellEnd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>PoA</w:t>
            </w:r>
            <w:proofErr w:type="spellEnd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>, ZKP тощо</w:t>
            </w:r>
            <w:r w:rsidR="001C7AA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>структуру блоку</w:t>
            </w:r>
            <w:r w:rsidR="001C7AA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>поняття «</w:t>
            </w:r>
            <w:proofErr w:type="spellStart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>хешрейт</w:t>
            </w:r>
            <w:proofErr w:type="spellEnd"/>
            <w:r w:rsidR="001C7AA3">
              <w:rPr>
                <w:rFonts w:ascii="Times New Roman" w:eastAsia="Times New Roman" w:hAnsi="Times New Roman"/>
                <w:sz w:val="24"/>
                <w:szCs w:val="24"/>
              </w:rPr>
              <w:t xml:space="preserve">», </w:t>
            </w:r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 xml:space="preserve">особливості складність </w:t>
            </w:r>
            <w:proofErr w:type="spellStart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>майнінгу</w:t>
            </w:r>
            <w:proofErr w:type="spellEnd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 xml:space="preserve"> в мережі </w:t>
            </w:r>
            <w:proofErr w:type="spellStart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>Bitcoin</w:t>
            </w:r>
            <w:proofErr w:type="spellEnd"/>
            <w:r w:rsidR="001C7AA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 xml:space="preserve">особливості складність </w:t>
            </w:r>
            <w:proofErr w:type="spellStart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>майнінгу</w:t>
            </w:r>
            <w:proofErr w:type="spellEnd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 xml:space="preserve"> в мережі </w:t>
            </w:r>
            <w:proofErr w:type="spellStart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>Ethereu</w:t>
            </w:r>
            <w:r w:rsidR="001C7AA3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proofErr w:type="spellEnd"/>
            <w:r w:rsidR="001C7AA3">
              <w:rPr>
                <w:rFonts w:ascii="Times New Roman" w:eastAsia="Times New Roman" w:hAnsi="Times New Roman"/>
                <w:sz w:val="24"/>
                <w:szCs w:val="24"/>
              </w:rPr>
              <w:t xml:space="preserve"> (до </w:t>
            </w:r>
            <w:proofErr w:type="spellStart"/>
            <w:r w:rsidR="001C7AA3">
              <w:rPr>
                <w:rFonts w:ascii="Times New Roman" w:eastAsia="Times New Roman" w:hAnsi="Times New Roman"/>
                <w:sz w:val="24"/>
                <w:szCs w:val="24"/>
              </w:rPr>
              <w:t>форку</w:t>
            </w:r>
            <w:proofErr w:type="spellEnd"/>
            <w:r w:rsidR="001C7AA3">
              <w:rPr>
                <w:rFonts w:ascii="Times New Roman" w:eastAsia="Times New Roman" w:hAnsi="Times New Roman"/>
                <w:sz w:val="24"/>
                <w:szCs w:val="24"/>
              </w:rPr>
              <w:t xml:space="preserve"> 15 вересня 2022 р.), </w:t>
            </w:r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 xml:space="preserve">структуру транзакцій в мережах </w:t>
            </w:r>
            <w:proofErr w:type="spellStart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>Bitcoin</w:t>
            </w:r>
            <w:proofErr w:type="spellEnd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>Ethereum</w:t>
            </w:r>
            <w:proofErr w:type="spellEnd"/>
            <w:r w:rsidR="001C7AA3">
              <w:rPr>
                <w:rFonts w:ascii="Times New Roman" w:eastAsia="Times New Roman" w:hAnsi="Times New Roman"/>
                <w:sz w:val="24"/>
                <w:szCs w:val="24"/>
              </w:rPr>
              <w:t xml:space="preserve">, суть алгоритму «Дерево Меркла», </w:t>
            </w:r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>популярні криптографічні хеш-функції</w:t>
            </w:r>
            <w:r w:rsidR="001C7AA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 xml:space="preserve">особливості криптографії в </w:t>
            </w:r>
            <w:proofErr w:type="spellStart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>блокчейнах</w:t>
            </w:r>
            <w:proofErr w:type="spellEnd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>Bitcoin</w:t>
            </w:r>
            <w:proofErr w:type="spellEnd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>Ethereum</w:t>
            </w:r>
            <w:proofErr w:type="spellEnd"/>
            <w:r w:rsidR="001C7AA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 xml:space="preserve"> поняття </w:t>
            </w:r>
            <w:proofErr w:type="spellStart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>криптовалюта</w:t>
            </w:r>
            <w:proofErr w:type="spellEnd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>стейблкоїн</w:t>
            </w:r>
            <w:proofErr w:type="spellEnd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>токен</w:t>
            </w:r>
            <w:proofErr w:type="spellEnd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>, смарт-контракт</w:t>
            </w:r>
            <w:r w:rsidR="001C7AA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 xml:space="preserve">види </w:t>
            </w:r>
            <w:proofErr w:type="spellStart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>вразливостей</w:t>
            </w:r>
            <w:proofErr w:type="spellEnd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 xml:space="preserve"> смарт-контрактів</w:t>
            </w:r>
            <w:r w:rsidR="001C7AA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 xml:space="preserve">шляхи виправлення </w:t>
            </w:r>
            <w:proofErr w:type="spellStart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>вразливостей</w:t>
            </w:r>
            <w:proofErr w:type="spellEnd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 xml:space="preserve"> у смарт-контрактах</w:t>
            </w:r>
            <w:r w:rsidR="001C7AA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>поняття та методи аудиту смарт-контрактів</w:t>
            </w:r>
          </w:p>
          <w:p w:rsidR="00B22568" w:rsidRPr="006A6169" w:rsidRDefault="009B21A1" w:rsidP="00CF16F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1A1">
              <w:rPr>
                <w:rFonts w:ascii="Times New Roman" w:eastAsia="Times New Roman" w:hAnsi="Times New Roman"/>
                <w:b/>
                <w:sz w:val="24"/>
                <w:szCs w:val="24"/>
              </w:rPr>
              <w:t>Вміти</w:t>
            </w:r>
            <w:r w:rsidRP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 xml:space="preserve">працювати з гаманцем </w:t>
            </w:r>
            <w:proofErr w:type="spellStart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>MetaMask</w:t>
            </w:r>
            <w:proofErr w:type="spellEnd"/>
            <w:r w:rsidR="001C7AA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 xml:space="preserve">розробляти, </w:t>
            </w:r>
            <w:proofErr w:type="spellStart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>оптимізовувати</w:t>
            </w:r>
            <w:proofErr w:type="spellEnd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 xml:space="preserve"> та тестувати смарт-контракти, розроблені для </w:t>
            </w:r>
            <w:proofErr w:type="spellStart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>блокчейну</w:t>
            </w:r>
            <w:proofErr w:type="spellEnd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7AA3" w:rsidRPr="001C7AA3">
              <w:rPr>
                <w:rFonts w:ascii="Times New Roman" w:eastAsia="Times New Roman" w:hAnsi="Times New Roman"/>
                <w:sz w:val="24"/>
                <w:szCs w:val="24"/>
              </w:rPr>
              <w:t>Ethereum</w:t>
            </w:r>
            <w:proofErr w:type="spellEnd"/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F359A7" w:rsidP="00F359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F359A7">
              <w:rPr>
                <w:rFonts w:ascii="Times New Roman" w:hAnsi="Times New Roman"/>
                <w:bCs/>
                <w:sz w:val="24"/>
                <w:szCs w:val="24"/>
              </w:rPr>
              <w:t>локчейн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д</w:t>
            </w:r>
            <w:r w:rsidRPr="00F359A7">
              <w:rPr>
                <w:rFonts w:ascii="Times New Roman" w:hAnsi="Times New Roman"/>
                <w:bCs/>
                <w:sz w:val="24"/>
                <w:szCs w:val="24"/>
              </w:rPr>
              <w:t>ецентралізація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</w:t>
            </w:r>
            <w:r w:rsidRPr="00F359A7">
              <w:rPr>
                <w:rFonts w:ascii="Times New Roman" w:hAnsi="Times New Roman"/>
                <w:bCs/>
                <w:sz w:val="24"/>
                <w:szCs w:val="24"/>
              </w:rPr>
              <w:t>март-контракти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к</w:t>
            </w:r>
            <w:r w:rsidRPr="00F359A7">
              <w:rPr>
                <w:rFonts w:ascii="Times New Roman" w:hAnsi="Times New Roman"/>
                <w:bCs/>
                <w:sz w:val="24"/>
                <w:szCs w:val="24"/>
              </w:rPr>
              <w:t>риптографія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F359A7">
              <w:rPr>
                <w:rFonts w:ascii="Times New Roman" w:hAnsi="Times New Roman"/>
                <w:bCs/>
                <w:sz w:val="24"/>
                <w:szCs w:val="24"/>
              </w:rPr>
              <w:t>айнінг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х</w:t>
            </w:r>
            <w:r w:rsidRPr="00F359A7">
              <w:rPr>
                <w:rFonts w:ascii="Times New Roman" w:hAnsi="Times New Roman"/>
                <w:bCs/>
                <w:sz w:val="24"/>
                <w:szCs w:val="24"/>
              </w:rPr>
              <w:t>еш-функції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359A7">
              <w:rPr>
                <w:rFonts w:ascii="Times New Roman" w:hAnsi="Times New Roman"/>
                <w:bCs/>
                <w:sz w:val="24"/>
                <w:szCs w:val="24"/>
              </w:rPr>
              <w:t>криптовалюта</w:t>
            </w:r>
            <w:proofErr w:type="spellEnd"/>
            <w:r w:rsidRPr="00F359A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359A7">
              <w:rPr>
                <w:rFonts w:ascii="Times New Roman" w:hAnsi="Times New Roman"/>
                <w:bCs/>
                <w:sz w:val="24"/>
                <w:szCs w:val="24"/>
              </w:rPr>
              <w:t>стейблкоїн</w:t>
            </w:r>
            <w:proofErr w:type="spellEnd"/>
            <w:r w:rsidRPr="00F359A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359A7">
              <w:rPr>
                <w:rFonts w:ascii="Times New Roman" w:hAnsi="Times New Roman"/>
                <w:bCs/>
                <w:sz w:val="24"/>
                <w:szCs w:val="24"/>
              </w:rPr>
              <w:t>токен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Bitcoin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359A7">
              <w:rPr>
                <w:rFonts w:ascii="Times New Roman" w:hAnsi="Times New Roman"/>
                <w:bCs/>
                <w:sz w:val="24"/>
                <w:szCs w:val="24"/>
              </w:rPr>
              <w:t>Ethereum</w:t>
            </w:r>
            <w:proofErr w:type="spellEnd"/>
            <w:r w:rsidR="0034202B">
              <w:rPr>
                <w:rFonts w:ascii="Times New Roman" w:hAnsi="Times New Roman"/>
                <w:bCs/>
                <w:sz w:val="24"/>
                <w:szCs w:val="24"/>
              </w:rPr>
              <w:t xml:space="preserve">, алгоритми консенсусу, </w:t>
            </w:r>
            <w:r w:rsidR="0034202B" w:rsidRPr="0034202B">
              <w:rPr>
                <w:rFonts w:ascii="Times New Roman" w:hAnsi="Times New Roman"/>
                <w:bCs/>
                <w:sz w:val="24"/>
                <w:szCs w:val="24"/>
              </w:rPr>
              <w:t>Дерево Меркла</w:t>
            </w:r>
            <w:r w:rsidR="0034202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34202B" w:rsidRPr="0034202B">
              <w:rPr>
                <w:rFonts w:ascii="Times New Roman" w:hAnsi="Times New Roman"/>
                <w:bCs/>
                <w:sz w:val="24"/>
                <w:szCs w:val="24"/>
              </w:rPr>
              <w:t>MetaMask</w:t>
            </w:r>
            <w:proofErr w:type="spellEnd"/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4A2585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Очний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68" w:rsidRPr="006A6169" w:rsidRDefault="00CE3518" w:rsidP="00793E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Подано у С</w:t>
            </w:r>
            <w:r w:rsidR="00793E76">
              <w:rPr>
                <w:rFonts w:ascii="Times New Roman" w:hAnsi="Times New Roman"/>
                <w:sz w:val="24"/>
                <w:szCs w:val="24"/>
              </w:rPr>
              <w:t>хемі курсу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BD" w:rsidRPr="006A6169" w:rsidRDefault="00FA1CDE" w:rsidP="00945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Іспит</w:t>
            </w:r>
            <w:bookmarkStart w:id="0" w:name="_GoBack"/>
            <w:bookmarkEnd w:id="0"/>
            <w:r w:rsidR="00793E76">
              <w:rPr>
                <w:rFonts w:ascii="Times New Roman" w:eastAsia="Times New Roman" w:hAnsi="Times New Roman"/>
                <w:sz w:val="24"/>
                <w:szCs w:val="24"/>
              </w:rPr>
              <w:t xml:space="preserve"> в кінці семестру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CE3518" w:rsidRDefault="00945F86" w:rsidP="00C91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86">
              <w:rPr>
                <w:rFonts w:ascii="Times New Roman" w:hAnsi="Times New Roman"/>
                <w:sz w:val="24"/>
                <w:szCs w:val="24"/>
              </w:rPr>
              <w:t xml:space="preserve">Вивчення дисципліни </w:t>
            </w:r>
            <w:r w:rsidR="00C91729">
              <w:rPr>
                <w:rFonts w:ascii="Times New Roman" w:hAnsi="Times New Roman"/>
                <w:sz w:val="24"/>
                <w:szCs w:val="24"/>
              </w:rPr>
              <w:t>«</w:t>
            </w:r>
            <w:r w:rsidR="0034202B" w:rsidRPr="0094526D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Основи </w:t>
            </w:r>
            <w:proofErr w:type="spellStart"/>
            <w:r w:rsidR="0034202B" w:rsidRPr="0094526D">
              <w:rPr>
                <w:rFonts w:ascii="Times New Roman" w:eastAsia="Times New Roman" w:hAnsi="Times New Roman"/>
                <w:sz w:val="24"/>
                <w:szCs w:val="24"/>
              </w:rPr>
              <w:t>block-chain</w:t>
            </w:r>
            <w:proofErr w:type="spellEnd"/>
            <w:r w:rsidR="0034202B" w:rsidRPr="0094526D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технології</w:t>
            </w:r>
            <w:r w:rsidR="00C91729">
              <w:rPr>
                <w:rFonts w:ascii="Times New Roman" w:hAnsi="Times New Roman"/>
                <w:sz w:val="24"/>
                <w:szCs w:val="24"/>
              </w:rPr>
              <w:t>»</w:t>
            </w:r>
            <w:r w:rsidRPr="00945F86">
              <w:rPr>
                <w:rFonts w:ascii="Times New Roman" w:hAnsi="Times New Roman"/>
                <w:sz w:val="24"/>
                <w:szCs w:val="24"/>
              </w:rPr>
              <w:t xml:space="preserve"> забезпечується отриманими знаннями з </w:t>
            </w:r>
            <w:r w:rsidR="007C0C64">
              <w:rPr>
                <w:rFonts w:ascii="Times New Roman" w:hAnsi="Times New Roman"/>
                <w:sz w:val="24"/>
                <w:szCs w:val="24"/>
              </w:rPr>
              <w:t>дисциплін:</w:t>
            </w:r>
            <w:r w:rsidR="00FB36CB" w:rsidRPr="00FB3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0C64" w:rsidRPr="007C0C64">
              <w:rPr>
                <w:rFonts w:ascii="Times New Roman" w:hAnsi="Times New Roman"/>
                <w:sz w:val="24"/>
                <w:szCs w:val="24"/>
              </w:rPr>
              <w:t>«Інформаційні і комунікаційні технології», «Комп’ютерні мережі і телекомунікації», «</w:t>
            </w:r>
            <w:r w:rsidR="00C91729">
              <w:rPr>
                <w:rFonts w:ascii="Times New Roman" w:hAnsi="Times New Roman"/>
                <w:sz w:val="24"/>
                <w:szCs w:val="24"/>
              </w:rPr>
              <w:t>Організація баз даних і знань»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CE3518" w:rsidP="00F21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Лекції з використанням презентацій, демонстрація роботи з програмними си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>стемами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317579" w:rsidRDefault="00B22568" w:rsidP="006B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Вивчення курсу потребу</w:t>
            </w:r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є</w:t>
            </w: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використання </w:t>
            </w:r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такого </w:t>
            </w: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програмного забезпечення</w:t>
            </w:r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34202B" w:rsidRPr="0034202B">
              <w:rPr>
                <w:rFonts w:ascii="Times New Roman" w:hAnsi="Times New Roman"/>
                <w:bCs/>
                <w:sz w:val="24"/>
                <w:szCs w:val="24"/>
              </w:rPr>
              <w:t>MetaMask</w:t>
            </w:r>
            <w:proofErr w:type="spellEnd"/>
            <w:r w:rsidR="0034202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34202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Remix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A11" w:rsidRPr="002E5E0D" w:rsidRDefault="00412A11" w:rsidP="00412A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Оцінювання проводиться за 100-бальною шкалою. Бали нараховуються за наступним спів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ідношенням: </w:t>
            </w:r>
          </w:p>
          <w:p w:rsidR="00412A11" w:rsidRPr="002E5E0D" w:rsidRDefault="00412A11" w:rsidP="00412A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лабораторні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30</w:t>
            </w:r>
          </w:p>
          <w:p w:rsidR="00412A11" w:rsidRDefault="00412A11" w:rsidP="00412A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• контрольні заміри (модулі):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0% семестрової оцінки; максимальна кількість балів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</w:t>
            </w:r>
          </w:p>
          <w:p w:rsidR="00412A11" w:rsidRDefault="00412A11" w:rsidP="00412A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іспит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0% семестрової оцінки; максимальна кількість балів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50</w:t>
            </w:r>
          </w:p>
          <w:p w:rsidR="00B22568" w:rsidRPr="002E5E0D" w:rsidRDefault="00412A11" w:rsidP="00412A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Підсумкова максимальна кількість балів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 100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Питання до заліку чи екзамену.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Засновнком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Bitcoin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є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Засновнком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Ethereum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є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Перший блок в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блокчейні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Bitcoin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видобуто в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Перший блок в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блокчейні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Ethereum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видобуто в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Блокчейн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1.0 – це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Блокчейн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2.0 – це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Блокчейн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3.0 – це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Нода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– це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Трилема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блокчейну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– це ідея про те, що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блокчейнам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важко досягти оптимальних рівнів усіх трьох властивостей одночасно, а саме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Шардінг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– це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До рішень рівня 1, які вирішують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трилему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блокчейну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, належать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До рішень рівня 1, які вирішують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трилему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блокчейну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, належать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До рішень рівня 2, які вирішують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трилему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блокчейну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, належать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Види мереж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блокчейн</w:t>
            </w:r>
            <w:proofErr w:type="spellEnd"/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Транзакційна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прозорість в мережі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блокчейн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передбачає, що всі транзакції, здійснені на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блокчейні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, є публічними та доступними для перегляду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Сайдчейн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- це технологія, яка передбачає, що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Канал стану - це технологія, яка передбачає, що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Вкладені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блокчейни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- це технологія, яка передбачає, що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Алгоритми консенсусу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блокчейну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стосуються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Алгоритми консенсусу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блокчейну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стосуються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Нонс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nonce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) - це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У мережах з консенсусом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Proof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of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Work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PoW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) винагороду за виконану роботу отримує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У мережах з консенсусом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Proof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of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Stake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PoS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) більший шанс стати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валідатором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має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У мережах з консенсусом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Delegated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Proof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of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Stake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DPoS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) більший шанс стати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валідатором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має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У мережах з консенсусом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Nominated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Proof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of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Stake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NPoS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) більший шанс стати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валідатором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має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У мережах з консенсусом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Proof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of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Authority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PoA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) більший шанс стати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валідатором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має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Переваги алгоритму консенсусу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Proof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of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Work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PoW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Недоліки алгоритму консенсусу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Proof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of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Work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PoW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Переваги алгоритму консенсусу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Proof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of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Stake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PoS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Недоліки алгоритму консенсусу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Proof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of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Stake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PoS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Переваги алгоритму консенсусу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Proof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of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Authority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PoA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Недоліки алгоритму консенсусу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Proof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of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Authority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PoA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Структура даних, що зберігаються всередині блоку, залежить від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Хешрейт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вимірюється в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У мережах з консенсусом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Proof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of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Work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PoW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) для управління часом знаходження блоків в мережі використовується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В мережі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Bitcoin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після формування кожних 210 000 блоків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запрограмовано</w:t>
            </w:r>
            <w:proofErr w:type="spellEnd"/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В мережі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Bitcoin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складність коригується кожні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Дерево Меркла (хеш-дерево) - це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Корінь Меркла (кореневий хеш дерева Меркла)- це обов'язковий елемент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Термін «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хешрейт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» має таке значення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Типи транзакцій в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блокчейні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Ethereum</w:t>
            </w:r>
            <w:proofErr w:type="spellEnd"/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Дерева Меркла дають змогу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блокчейні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Ethereum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використовуються такі хеш-дерева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Хешування - це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Стійкість до колізії означає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Стійкість до знаходження першого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першовзору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означає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Стійкість до знаходження другого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першовзору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означає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External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owned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accounts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(EOA) в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блокчейні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Ethereum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- це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Contract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accounts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(CA) в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блокчейні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Ethereum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- це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External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owned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accounts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(EOA) в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блокчейні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Ethereum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має такі ключі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Contract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accounts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(CA) в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блокчейні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Ethereum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має такі ключі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Довжина приватного ключа в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блокчейні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Ethereum</w:t>
            </w:r>
            <w:proofErr w:type="spellEnd"/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Довжина відкритого ключа в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блокчейні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Ethereum</w:t>
            </w:r>
            <w:proofErr w:type="spellEnd"/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Довжина адреси в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блокчейні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Ethereum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(з префіксом)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Криптографічна хеш-функція повинна відповідати таким властивостям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Типи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акаунтів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блокчейні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Ethereum</w:t>
            </w:r>
            <w:proofErr w:type="spellEnd"/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У процесі створення адреси в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блокчейні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Bitcoin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використовуються такі хеш-функції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Криптовалюта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Cryptocurrency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) - це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Токен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криптовалютний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) - це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Токен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автентифікації - це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Стейблкойн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, або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стейблкоїн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stablecoin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) - це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Фіатні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стейблкоїни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- це такі, що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Товарні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стейблкоїни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- це такі, що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Криптовалютні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стейблкоїни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- це такі, що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Алгоритмічні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стейблкоїни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- це такі, що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Сеньйоражні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стейблкоїни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- це такі, що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Токени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додатків - це такі, що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Токени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-жетони - це такі, що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Утилітарні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токени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- це такі, що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Токени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користувача - це такі, що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Токени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апкойни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Appcoins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) - це такі, що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Токени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-акції - це такі, що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Кредитні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токени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- це такі, що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Унікальні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токени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Non-fungible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token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, NFT) - це такі, що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Динамічні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токени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dNFT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) - це такі, що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Смарт-контракт - це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Типи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стейблкоїнів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за способами їхнього забезпечення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Типи централізованих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стейблкоїнів</w:t>
            </w:r>
            <w:proofErr w:type="spellEnd"/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Типи децентралізованих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стейблкоїнів</w:t>
            </w:r>
            <w:proofErr w:type="spellEnd"/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Види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токенів</w:t>
            </w:r>
            <w:proofErr w:type="spellEnd"/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Об'єкти смарт-контракту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Види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вразливостей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смарт-контрактів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Методи аудиту смарт-контрактів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Методи функціонального тестування смарт-контрактів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Solidity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для змінної "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uint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public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myUint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" вираз "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myUint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== 1" означає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Solidity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для змінної "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uint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public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myUint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" вираз "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myUint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-- 1" означає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Solidity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для змінної "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uint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public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myUint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" вираз "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myUint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--" означає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Solidity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для змінної "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uint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public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myUint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" вираз "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myUint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=- 1" означає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Solidity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для змінної "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uint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public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myUint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" вираз "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myUint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!= 1" означає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Solidity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для змінної "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uint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public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myUint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" вираз "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myUint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-= 1" означає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Solidity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для змінної "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uint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public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myUint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" вираз "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myUint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=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myUint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- 1" означає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Solidity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для змінної "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int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public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myInt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" вираз "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myInt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=- 1" означає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Solidity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 метод ".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push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" означає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Solidity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 видимість функції "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external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" означає, що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Solidity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 видимість функції "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internal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" означає, що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Solidity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 видимість функції "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private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" означає, що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Solidity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 видимість функції "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public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" означає, що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Solidity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 вбудований модифікатор функцій "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view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" означає, що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Solidity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 вбудований модифікатор функцій "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pure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" означає, що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Solidity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 вбудований модифікатор функцій "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payable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" означає, що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Solidity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 вбудована функція "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require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" - це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Solidity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 вбудована функція "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receive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" - це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Solidity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 вбудована функція "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fallback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" - це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Solidity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 метод ".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transfer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" виконує таку дію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Solidity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 метод ".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balance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" виконує таку дію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Solidity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 метод "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msg.sender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" виконує таку дію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Solidity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чим відрізняється змінна, визначена як "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address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", від змінної, визначеної як "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address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payable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Solidity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 метод "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msg.value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" виконує таку дію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Solidity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 вбудований модифікатор функцій "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virtual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" означає, що</w:t>
            </w:r>
          </w:p>
          <w:p w:rsidR="009B2495" w:rsidRPr="009B249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Solidity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 вбудований модифікатор функцій "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override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" означає, що</w:t>
            </w:r>
          </w:p>
          <w:p w:rsidR="00B22568" w:rsidRPr="00CD1ED5" w:rsidRDefault="009B2495" w:rsidP="00671963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3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Які типи даних в </w:t>
            </w:r>
            <w:proofErr w:type="spellStart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>Solidity</w:t>
            </w:r>
            <w:proofErr w:type="spellEnd"/>
            <w:r w:rsidRPr="009B2495">
              <w:rPr>
                <w:rFonts w:ascii="Times New Roman" w:hAnsi="Times New Roman"/>
                <w:bCs/>
                <w:sz w:val="24"/>
                <w:szCs w:val="24"/>
              </w:rPr>
              <w:t xml:space="preserve"> існують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Анкету-оцінку з метою оцінювання якості курсу 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>буде надано по завершенню курсу</w:t>
            </w:r>
          </w:p>
        </w:tc>
      </w:tr>
    </w:tbl>
    <w:p w:rsidR="00B22568" w:rsidRPr="006A616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sectPr w:rsidR="00B225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FA040EDA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A2E27B6"/>
    <w:multiLevelType w:val="hybridMultilevel"/>
    <w:tmpl w:val="5AE6A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51F14"/>
    <w:multiLevelType w:val="hybridMultilevel"/>
    <w:tmpl w:val="3AB45ECC"/>
    <w:lvl w:ilvl="0" w:tplc="81F044F8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5259"/>
    <w:multiLevelType w:val="hybridMultilevel"/>
    <w:tmpl w:val="224055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72EB7"/>
    <w:multiLevelType w:val="hybridMultilevel"/>
    <w:tmpl w:val="C298DDB0"/>
    <w:lvl w:ilvl="0" w:tplc="6C06A3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E684F"/>
    <w:multiLevelType w:val="hybridMultilevel"/>
    <w:tmpl w:val="1218A96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1934DC"/>
    <w:multiLevelType w:val="multilevel"/>
    <w:tmpl w:val="9C08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A468F"/>
    <w:multiLevelType w:val="hybridMultilevel"/>
    <w:tmpl w:val="72D85C88"/>
    <w:lvl w:ilvl="0" w:tplc="E33E5CB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F021679"/>
    <w:multiLevelType w:val="hybridMultilevel"/>
    <w:tmpl w:val="C1D459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B098E"/>
    <w:multiLevelType w:val="hybridMultilevel"/>
    <w:tmpl w:val="84CE6E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5687A"/>
    <w:multiLevelType w:val="hybridMultilevel"/>
    <w:tmpl w:val="77A09E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B70FF"/>
    <w:multiLevelType w:val="hybridMultilevel"/>
    <w:tmpl w:val="009E299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1F44E3"/>
    <w:multiLevelType w:val="multilevel"/>
    <w:tmpl w:val="9C08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2C4E46"/>
    <w:multiLevelType w:val="multilevel"/>
    <w:tmpl w:val="E1D42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F13719"/>
    <w:multiLevelType w:val="hybridMultilevel"/>
    <w:tmpl w:val="EF90111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272C3A"/>
    <w:multiLevelType w:val="hybridMultilevel"/>
    <w:tmpl w:val="C9C2BA4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B367AE"/>
    <w:multiLevelType w:val="hybridMultilevel"/>
    <w:tmpl w:val="507C2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501FA"/>
    <w:multiLevelType w:val="hybridMultilevel"/>
    <w:tmpl w:val="84A2B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146DCD"/>
    <w:multiLevelType w:val="hybridMultilevel"/>
    <w:tmpl w:val="FAFC23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F052D"/>
    <w:multiLevelType w:val="hybridMultilevel"/>
    <w:tmpl w:val="507C2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55053"/>
    <w:multiLevelType w:val="hybridMultilevel"/>
    <w:tmpl w:val="51824A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769AF"/>
    <w:multiLevelType w:val="hybridMultilevel"/>
    <w:tmpl w:val="F0160CD4"/>
    <w:lvl w:ilvl="0" w:tplc="C3F645D4">
      <w:start w:val="8"/>
      <w:numFmt w:val="bullet"/>
      <w:pStyle w:val="1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43D45FA"/>
    <w:multiLevelType w:val="hybridMultilevel"/>
    <w:tmpl w:val="507C2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47DB9"/>
    <w:multiLevelType w:val="hybridMultilevel"/>
    <w:tmpl w:val="507C2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606DC"/>
    <w:multiLevelType w:val="hybridMultilevel"/>
    <w:tmpl w:val="61F0C0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A1DAF"/>
    <w:multiLevelType w:val="hybridMultilevel"/>
    <w:tmpl w:val="ED86AB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C41DE"/>
    <w:multiLevelType w:val="hybridMultilevel"/>
    <w:tmpl w:val="6C2E89A8"/>
    <w:lvl w:ilvl="0" w:tplc="549A2A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AF327C"/>
    <w:multiLevelType w:val="hybridMultilevel"/>
    <w:tmpl w:val="72D85C88"/>
    <w:lvl w:ilvl="0" w:tplc="E33E5CB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E20A50"/>
    <w:multiLevelType w:val="hybridMultilevel"/>
    <w:tmpl w:val="8B0842DA"/>
    <w:lvl w:ilvl="0" w:tplc="FD928D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F573CA"/>
    <w:multiLevelType w:val="hybridMultilevel"/>
    <w:tmpl w:val="C8F879E8"/>
    <w:lvl w:ilvl="0" w:tplc="3A206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A8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CF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0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01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CE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A0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D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D87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C232297"/>
    <w:multiLevelType w:val="hybridMultilevel"/>
    <w:tmpl w:val="7542C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0"/>
  </w:num>
  <w:num w:numId="4">
    <w:abstractNumId w:val="24"/>
  </w:num>
  <w:num w:numId="5">
    <w:abstractNumId w:val="24"/>
  </w:num>
  <w:num w:numId="6">
    <w:abstractNumId w:val="32"/>
  </w:num>
  <w:num w:numId="7">
    <w:abstractNumId w:val="13"/>
  </w:num>
  <w:num w:numId="8">
    <w:abstractNumId w:val="28"/>
  </w:num>
  <w:num w:numId="9">
    <w:abstractNumId w:val="8"/>
  </w:num>
  <w:num w:numId="10">
    <w:abstractNumId w:val="16"/>
  </w:num>
  <w:num w:numId="11">
    <w:abstractNumId w:val="6"/>
  </w:num>
  <w:num w:numId="12">
    <w:abstractNumId w:val="15"/>
  </w:num>
  <w:num w:numId="13">
    <w:abstractNumId w:val="2"/>
  </w:num>
  <w:num w:numId="14">
    <w:abstractNumId w:val="17"/>
  </w:num>
  <w:num w:numId="15">
    <w:abstractNumId w:val="33"/>
  </w:num>
  <w:num w:numId="16">
    <w:abstractNumId w:val="18"/>
  </w:num>
  <w:num w:numId="17">
    <w:abstractNumId w:val="27"/>
  </w:num>
  <w:num w:numId="18">
    <w:abstractNumId w:val="14"/>
  </w:num>
  <w:num w:numId="19">
    <w:abstractNumId w:val="5"/>
  </w:num>
  <w:num w:numId="20">
    <w:abstractNumId w:val="20"/>
  </w:num>
  <w:num w:numId="21">
    <w:abstractNumId w:val="30"/>
  </w:num>
  <w:num w:numId="22">
    <w:abstractNumId w:val="34"/>
  </w:num>
  <w:num w:numId="23">
    <w:abstractNumId w:val="4"/>
  </w:num>
  <w:num w:numId="24">
    <w:abstractNumId w:val="7"/>
  </w:num>
  <w:num w:numId="25">
    <w:abstractNumId w:val="29"/>
  </w:num>
  <w:num w:numId="26">
    <w:abstractNumId w:val="12"/>
  </w:num>
  <w:num w:numId="27">
    <w:abstractNumId w:val="21"/>
  </w:num>
  <w:num w:numId="28">
    <w:abstractNumId w:val="31"/>
  </w:num>
  <w:num w:numId="29">
    <w:abstractNumId w:val="9"/>
  </w:num>
  <w:num w:numId="30">
    <w:abstractNumId w:val="35"/>
  </w:num>
  <w:num w:numId="31">
    <w:abstractNumId w:val="26"/>
  </w:num>
  <w:num w:numId="32">
    <w:abstractNumId w:val="3"/>
  </w:num>
  <w:num w:numId="33">
    <w:abstractNumId w:val="10"/>
  </w:num>
  <w:num w:numId="34">
    <w:abstractNumId w:val="11"/>
  </w:num>
  <w:num w:numId="35">
    <w:abstractNumId w:val="1"/>
  </w:num>
  <w:num w:numId="36">
    <w:abstractNumId w:val="25"/>
  </w:num>
  <w:num w:numId="37">
    <w:abstractNumId w:val="22"/>
  </w:num>
  <w:num w:numId="38">
    <w:abstractNumId w:val="19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68"/>
    <w:rsid w:val="0000788D"/>
    <w:rsid w:val="00012D9F"/>
    <w:rsid w:val="00075261"/>
    <w:rsid w:val="00080AC7"/>
    <w:rsid w:val="00085521"/>
    <w:rsid w:val="000A40E9"/>
    <w:rsid w:val="000A6FA4"/>
    <w:rsid w:val="000E2955"/>
    <w:rsid w:val="000F00B2"/>
    <w:rsid w:val="00100A0B"/>
    <w:rsid w:val="00112A78"/>
    <w:rsid w:val="00143906"/>
    <w:rsid w:val="001670CD"/>
    <w:rsid w:val="001679F6"/>
    <w:rsid w:val="00195508"/>
    <w:rsid w:val="00197BEE"/>
    <w:rsid w:val="001A680F"/>
    <w:rsid w:val="001B690F"/>
    <w:rsid w:val="001C7AA3"/>
    <w:rsid w:val="001E749A"/>
    <w:rsid w:val="001F3C10"/>
    <w:rsid w:val="001F622D"/>
    <w:rsid w:val="00222E21"/>
    <w:rsid w:val="00236BF2"/>
    <w:rsid w:val="00253D8C"/>
    <w:rsid w:val="00255C02"/>
    <w:rsid w:val="00287310"/>
    <w:rsid w:val="002A338E"/>
    <w:rsid w:val="002A56D4"/>
    <w:rsid w:val="002B1EAD"/>
    <w:rsid w:val="002B4C54"/>
    <w:rsid w:val="002C0E4D"/>
    <w:rsid w:val="002C62A4"/>
    <w:rsid w:val="002E5E0D"/>
    <w:rsid w:val="002F1304"/>
    <w:rsid w:val="00301AE1"/>
    <w:rsid w:val="00315A00"/>
    <w:rsid w:val="00317579"/>
    <w:rsid w:val="0034202B"/>
    <w:rsid w:val="00345EC0"/>
    <w:rsid w:val="00377D6A"/>
    <w:rsid w:val="00383830"/>
    <w:rsid w:val="00386C41"/>
    <w:rsid w:val="003B2E08"/>
    <w:rsid w:val="003C6E7D"/>
    <w:rsid w:val="003F7C6A"/>
    <w:rsid w:val="00412A11"/>
    <w:rsid w:val="00416C85"/>
    <w:rsid w:val="004525D9"/>
    <w:rsid w:val="00456849"/>
    <w:rsid w:val="00473FB2"/>
    <w:rsid w:val="0048677E"/>
    <w:rsid w:val="00486BAA"/>
    <w:rsid w:val="004A2585"/>
    <w:rsid w:val="004C01FE"/>
    <w:rsid w:val="004D31CC"/>
    <w:rsid w:val="004F5ADA"/>
    <w:rsid w:val="00516AC9"/>
    <w:rsid w:val="005214C1"/>
    <w:rsid w:val="005521DB"/>
    <w:rsid w:val="0056379A"/>
    <w:rsid w:val="005840F1"/>
    <w:rsid w:val="005849D4"/>
    <w:rsid w:val="00585A79"/>
    <w:rsid w:val="005B5EFE"/>
    <w:rsid w:val="005C4180"/>
    <w:rsid w:val="005C4633"/>
    <w:rsid w:val="005F64A5"/>
    <w:rsid w:val="00601BE1"/>
    <w:rsid w:val="00640C8F"/>
    <w:rsid w:val="00650975"/>
    <w:rsid w:val="006523AB"/>
    <w:rsid w:val="006552D5"/>
    <w:rsid w:val="00671963"/>
    <w:rsid w:val="006756BD"/>
    <w:rsid w:val="006824B6"/>
    <w:rsid w:val="00685482"/>
    <w:rsid w:val="006905A4"/>
    <w:rsid w:val="006909DB"/>
    <w:rsid w:val="006A11EE"/>
    <w:rsid w:val="006A4FF0"/>
    <w:rsid w:val="006A5F4B"/>
    <w:rsid w:val="006B0215"/>
    <w:rsid w:val="006B3B2C"/>
    <w:rsid w:val="006B694C"/>
    <w:rsid w:val="006D4410"/>
    <w:rsid w:val="006E2504"/>
    <w:rsid w:val="006E3277"/>
    <w:rsid w:val="0070119C"/>
    <w:rsid w:val="00715410"/>
    <w:rsid w:val="0072492F"/>
    <w:rsid w:val="00750EAE"/>
    <w:rsid w:val="00764CD7"/>
    <w:rsid w:val="007746FC"/>
    <w:rsid w:val="00786DFA"/>
    <w:rsid w:val="007938F9"/>
    <w:rsid w:val="00793E76"/>
    <w:rsid w:val="007A2F63"/>
    <w:rsid w:val="007B3735"/>
    <w:rsid w:val="007C0C64"/>
    <w:rsid w:val="007D0443"/>
    <w:rsid w:val="007D7230"/>
    <w:rsid w:val="007E268A"/>
    <w:rsid w:val="007E334A"/>
    <w:rsid w:val="00813101"/>
    <w:rsid w:val="00826A59"/>
    <w:rsid w:val="0085633D"/>
    <w:rsid w:val="00864455"/>
    <w:rsid w:val="00870953"/>
    <w:rsid w:val="008924C5"/>
    <w:rsid w:val="00896117"/>
    <w:rsid w:val="008A43A5"/>
    <w:rsid w:val="008A4639"/>
    <w:rsid w:val="008B3981"/>
    <w:rsid w:val="008D6C8D"/>
    <w:rsid w:val="0091555E"/>
    <w:rsid w:val="009249FD"/>
    <w:rsid w:val="0094526D"/>
    <w:rsid w:val="00945F86"/>
    <w:rsid w:val="0094793F"/>
    <w:rsid w:val="00947AAE"/>
    <w:rsid w:val="0095225B"/>
    <w:rsid w:val="0096300A"/>
    <w:rsid w:val="009641E9"/>
    <w:rsid w:val="00971F64"/>
    <w:rsid w:val="009804C4"/>
    <w:rsid w:val="009807EE"/>
    <w:rsid w:val="00986503"/>
    <w:rsid w:val="009901D8"/>
    <w:rsid w:val="009B21A1"/>
    <w:rsid w:val="009B2495"/>
    <w:rsid w:val="009D6793"/>
    <w:rsid w:val="009D737A"/>
    <w:rsid w:val="00A11C41"/>
    <w:rsid w:val="00A20DD3"/>
    <w:rsid w:val="00A61D71"/>
    <w:rsid w:val="00A773CF"/>
    <w:rsid w:val="00A86D71"/>
    <w:rsid w:val="00A9716B"/>
    <w:rsid w:val="00AB1056"/>
    <w:rsid w:val="00AB6BBA"/>
    <w:rsid w:val="00AC272B"/>
    <w:rsid w:val="00AD6E03"/>
    <w:rsid w:val="00AD70AD"/>
    <w:rsid w:val="00B22568"/>
    <w:rsid w:val="00B533D5"/>
    <w:rsid w:val="00BB3926"/>
    <w:rsid w:val="00BD2E61"/>
    <w:rsid w:val="00BF339A"/>
    <w:rsid w:val="00C00FA4"/>
    <w:rsid w:val="00C32B35"/>
    <w:rsid w:val="00C3667A"/>
    <w:rsid w:val="00C41A59"/>
    <w:rsid w:val="00C52966"/>
    <w:rsid w:val="00C5445E"/>
    <w:rsid w:val="00C75571"/>
    <w:rsid w:val="00C866F0"/>
    <w:rsid w:val="00C91729"/>
    <w:rsid w:val="00CA5E86"/>
    <w:rsid w:val="00CB0F1A"/>
    <w:rsid w:val="00CD1ED5"/>
    <w:rsid w:val="00CE3518"/>
    <w:rsid w:val="00CF16F2"/>
    <w:rsid w:val="00CF678C"/>
    <w:rsid w:val="00D07B99"/>
    <w:rsid w:val="00D17ECA"/>
    <w:rsid w:val="00D2557E"/>
    <w:rsid w:val="00D32E60"/>
    <w:rsid w:val="00D4365A"/>
    <w:rsid w:val="00D5247A"/>
    <w:rsid w:val="00D62907"/>
    <w:rsid w:val="00D74DD1"/>
    <w:rsid w:val="00D76FDF"/>
    <w:rsid w:val="00D84C68"/>
    <w:rsid w:val="00DA2A58"/>
    <w:rsid w:val="00DC123C"/>
    <w:rsid w:val="00DC557D"/>
    <w:rsid w:val="00E04FC2"/>
    <w:rsid w:val="00E32151"/>
    <w:rsid w:val="00E3575C"/>
    <w:rsid w:val="00E77CFB"/>
    <w:rsid w:val="00E90ABA"/>
    <w:rsid w:val="00E923E2"/>
    <w:rsid w:val="00EC36D2"/>
    <w:rsid w:val="00EE648F"/>
    <w:rsid w:val="00EF7D84"/>
    <w:rsid w:val="00F04DC8"/>
    <w:rsid w:val="00F05E4F"/>
    <w:rsid w:val="00F2116D"/>
    <w:rsid w:val="00F23A01"/>
    <w:rsid w:val="00F359A7"/>
    <w:rsid w:val="00F40B7A"/>
    <w:rsid w:val="00F50F95"/>
    <w:rsid w:val="00F60E6E"/>
    <w:rsid w:val="00F67152"/>
    <w:rsid w:val="00F73FBD"/>
    <w:rsid w:val="00F814F3"/>
    <w:rsid w:val="00FA04FC"/>
    <w:rsid w:val="00FA1CDE"/>
    <w:rsid w:val="00FB36CB"/>
    <w:rsid w:val="00FC0135"/>
    <w:rsid w:val="00FC65C7"/>
    <w:rsid w:val="00F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1EBB"/>
  <w15:chartTrackingRefBased/>
  <w15:docId w15:val="{9C2ADE84-D6C2-4BDB-B314-7E344EF7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5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пункт 0"/>
    <w:basedOn w:val="a"/>
    <w:autoRedefine/>
    <w:qFormat/>
    <w:rsid w:val="00236BF2"/>
    <w:pPr>
      <w:spacing w:after="0" w:line="228" w:lineRule="auto"/>
      <w:ind w:firstLine="709"/>
    </w:pPr>
    <w:rPr>
      <w:rFonts w:ascii="Times New Roman" w:eastAsia="Times New Roman" w:hAnsi="Times New Roman"/>
      <w:b/>
      <w:i/>
      <w:sz w:val="24"/>
      <w:szCs w:val="24"/>
      <w:lang w:eastAsia="uk-UA"/>
    </w:rPr>
  </w:style>
  <w:style w:type="paragraph" w:customStyle="1" w:styleId="1">
    <w:name w:val="пункт1"/>
    <w:basedOn w:val="a"/>
    <w:autoRedefine/>
    <w:qFormat/>
    <w:rsid w:val="00236BF2"/>
    <w:pPr>
      <w:numPr>
        <w:numId w:val="5"/>
      </w:numPr>
      <w:tabs>
        <w:tab w:val="left" w:pos="851"/>
      </w:tabs>
      <w:autoSpaceDE w:val="0"/>
      <w:autoSpaceDN w:val="0"/>
      <w:adjustRightInd w:val="0"/>
      <w:spacing w:after="0" w:line="201" w:lineRule="atLeast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пунк2"/>
    <w:basedOn w:val="a"/>
    <w:autoRedefine/>
    <w:rsid w:val="000A6FA4"/>
    <w:pPr>
      <w:numPr>
        <w:numId w:val="3"/>
      </w:numPr>
      <w:suppressAutoHyphens/>
      <w:spacing w:after="0" w:line="216" w:lineRule="auto"/>
    </w:pPr>
    <w:rPr>
      <w:rFonts w:ascii="Times New Roman" w:eastAsia="Times New Roman" w:hAnsi="Times New Roman"/>
      <w:b/>
      <w:i/>
      <w:sz w:val="24"/>
      <w:szCs w:val="24"/>
      <w:lang w:eastAsia="zh-CN"/>
    </w:rPr>
  </w:style>
  <w:style w:type="paragraph" w:styleId="a3">
    <w:name w:val="caption"/>
    <w:basedOn w:val="a"/>
    <w:next w:val="a"/>
    <w:uiPriority w:val="35"/>
    <w:unhideWhenUsed/>
    <w:qFormat/>
    <w:rsid w:val="00236BF2"/>
    <w:pPr>
      <w:spacing w:line="240" w:lineRule="auto"/>
    </w:pPr>
    <w:rPr>
      <w:i/>
      <w:iCs/>
      <w:color w:val="373545" w:themeColor="text2"/>
      <w:sz w:val="18"/>
      <w:szCs w:val="18"/>
    </w:rPr>
  </w:style>
  <w:style w:type="paragraph" w:styleId="a4">
    <w:name w:val="No Spacing"/>
    <w:uiPriority w:val="1"/>
    <w:qFormat/>
    <w:rsid w:val="00236B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22568"/>
    <w:pPr>
      <w:ind w:left="720"/>
      <w:contextualSpacing/>
    </w:pPr>
  </w:style>
  <w:style w:type="character" w:customStyle="1" w:styleId="value">
    <w:name w:val="value"/>
    <w:basedOn w:val="a0"/>
    <w:rsid w:val="006B694C"/>
  </w:style>
  <w:style w:type="character" w:styleId="a6">
    <w:name w:val="Hyperlink"/>
    <w:basedOn w:val="a0"/>
    <w:unhideWhenUsed/>
    <w:rsid w:val="006B694C"/>
    <w:rPr>
      <w:color w:val="0000FF"/>
      <w:u w:val="single"/>
    </w:rPr>
  </w:style>
  <w:style w:type="character" w:styleId="a7">
    <w:name w:val="Strong"/>
    <w:basedOn w:val="a0"/>
    <w:uiPriority w:val="22"/>
    <w:qFormat/>
    <w:rsid w:val="00012D9F"/>
    <w:rPr>
      <w:b/>
      <w:bCs/>
    </w:rPr>
  </w:style>
  <w:style w:type="paragraph" w:customStyle="1" w:styleId="10">
    <w:name w:val="Тест1"/>
    <w:basedOn w:val="a"/>
    <w:qFormat/>
    <w:rsid w:val="00012D9F"/>
    <w:pPr>
      <w:spacing w:before="120" w:after="0" w:line="312" w:lineRule="auto"/>
      <w:ind w:left="568" w:hanging="284"/>
      <w:jc w:val="both"/>
    </w:pPr>
    <w:rPr>
      <w:rFonts w:ascii="Times New Roman" w:eastAsiaTheme="minorHAnsi" w:hAnsi="Times New Roman" w:cstheme="minorBidi"/>
      <w:sz w:val="28"/>
      <w:szCs w:val="28"/>
      <w:lang w:eastAsia="uk-UA"/>
    </w:rPr>
  </w:style>
  <w:style w:type="paragraph" w:styleId="a8">
    <w:name w:val="Body Text"/>
    <w:basedOn w:val="a"/>
    <w:link w:val="a9"/>
    <w:rsid w:val="00345EC0"/>
    <w:pPr>
      <w:spacing w:after="120" w:line="24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9">
    <w:name w:val="Основний текст Знак"/>
    <w:basedOn w:val="a0"/>
    <w:link w:val="a8"/>
    <w:rsid w:val="00345EC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FF0BCB"/>
    <w:rPr>
      <w:i/>
      <w:iCs/>
    </w:rPr>
  </w:style>
  <w:style w:type="paragraph" w:styleId="ab">
    <w:name w:val="Body Text Indent"/>
    <w:basedOn w:val="a"/>
    <w:link w:val="ac"/>
    <w:uiPriority w:val="99"/>
    <w:semiHidden/>
    <w:unhideWhenUsed/>
    <w:rsid w:val="0000788D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semiHidden/>
    <w:rsid w:val="000078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Фіолетова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лиск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6</Pages>
  <Words>7905</Words>
  <Characters>4506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199</cp:revision>
  <dcterms:created xsi:type="dcterms:W3CDTF">2020-09-21T21:44:00Z</dcterms:created>
  <dcterms:modified xsi:type="dcterms:W3CDTF">2024-03-05T20:49:00Z</dcterms:modified>
</cp:coreProperties>
</file>