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AF052F" w:rsidRPr="00AF052F">
        <w:rPr>
          <w:rFonts w:ascii="Times New Roman" w:eastAsia="Times New Roman" w:hAnsi="Times New Roman"/>
          <w:b/>
          <w:color w:val="000000"/>
          <w:sz w:val="32"/>
          <w:szCs w:val="32"/>
        </w:rPr>
        <w:t>Технології менеджменту знань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870953">
        <w:rPr>
          <w:rFonts w:ascii="Times New Roman" w:eastAsia="Times New Roman" w:hAnsi="Times New Roman"/>
          <w:b/>
          <w:color w:val="000000"/>
          <w:sz w:val="32"/>
          <w:szCs w:val="32"/>
        </w:rPr>
        <w:t>другого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870953">
        <w:rPr>
          <w:rFonts w:ascii="Times New Roman" w:eastAsia="Times New Roman" w:hAnsi="Times New Roman"/>
          <w:b/>
          <w:color w:val="000000"/>
          <w:sz w:val="32"/>
          <w:szCs w:val="32"/>
        </w:rPr>
        <w:t>магістерського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870953">
        <w:rPr>
          <w:rFonts w:ascii="Times New Roman" w:eastAsia="Times New Roman" w:hAnsi="Times New Roman"/>
          <w:b/>
          <w:color w:val="000000"/>
          <w:sz w:val="32"/>
          <w:szCs w:val="32"/>
        </w:rPr>
        <w:t>122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870953" w:rsidRPr="00870953">
        <w:rPr>
          <w:rFonts w:ascii="Times New Roman" w:eastAsia="Times New Roman" w:hAnsi="Times New Roman"/>
          <w:b/>
          <w:color w:val="000000"/>
          <w:sz w:val="32"/>
          <w:szCs w:val="32"/>
        </w:rPr>
        <w:t>Комп’ютерні науки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870953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освітньо-професійної</w:t>
      </w:r>
      <w:r w:rsidR="007C0C6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програми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870953" w:rsidRPr="00870953">
        <w:rPr>
          <w:rFonts w:ascii="Times New Roman" w:eastAsia="Times New Roman" w:hAnsi="Times New Roman"/>
          <w:b/>
          <w:color w:val="000000"/>
          <w:sz w:val="32"/>
          <w:szCs w:val="32"/>
        </w:rPr>
        <w:t>Консолідована інформація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</w:t>
      </w:r>
      <w:r w:rsidR="007C0C64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AF052F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</w:rPr>
              <w:t>Технології менеджменту знань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6D" w:rsidRPr="00CF678C" w:rsidRDefault="0094526D" w:rsidP="00945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 w:rsidRPr="006B0596">
              <w:rPr>
                <w:rFonts w:ascii="Times New Roman" w:hAnsi="Times New Roman"/>
              </w:rPr>
              <w:t>12 «Інформаційні технології»</w:t>
            </w:r>
          </w:p>
          <w:p w:rsidR="0094526D" w:rsidRDefault="0094526D" w:rsidP="00945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</w:t>
            </w:r>
            <w:r w:rsidRPr="006B0596">
              <w:rPr>
                <w:rFonts w:ascii="Times New Roman" w:hAnsi="Times New Roman"/>
              </w:rPr>
              <w:t>122 «Комп’ютерні науки»</w:t>
            </w:r>
          </w:p>
          <w:p w:rsidR="00B22568" w:rsidRPr="0095225B" w:rsidRDefault="0094526D" w:rsidP="00945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освітньо-професійної програми</w:t>
            </w:r>
            <w:r w:rsidRPr="00EC36D2">
              <w:rPr>
                <w:rFonts w:ascii="Times New Roman" w:hAnsi="Times New Roman"/>
              </w:rPr>
              <w:t xml:space="preserve"> </w:t>
            </w:r>
            <w:r w:rsidRPr="006B0596">
              <w:rPr>
                <w:rFonts w:ascii="Times New Roman" w:hAnsi="Times New Roman"/>
              </w:rPr>
              <w:t>«Консолідована інформація»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91729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Григо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рівна,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0E4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2EF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</w:t>
            </w:r>
            <w:r w:rsidR="000E42EF" w:rsidRPr="000E42EF">
              <w:rPr>
                <w:rFonts w:ascii="Times New Roman" w:eastAsia="Times New Roman" w:hAnsi="Times New Roman"/>
                <w:sz w:val="24"/>
                <w:szCs w:val="24"/>
              </w:rPr>
              <w:t>студентам</w:t>
            </w:r>
            <w:r w:rsidRPr="000E42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B1056" w:rsidRPr="000E42EF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0E42EF" w:rsidRPr="000E42EF">
              <w:rPr>
                <w:rFonts w:ascii="Times New Roman" w:hAnsi="Times New Roman"/>
                <w:sz w:val="24"/>
              </w:rPr>
              <w:t xml:space="preserve">здобуття навичок інтеграції технологій та інструментів для ефективного управління знаннями з метою підвищення конкурентоспроможності та </w:t>
            </w:r>
            <w:proofErr w:type="spellStart"/>
            <w:r w:rsidR="000E42EF" w:rsidRPr="000E42EF">
              <w:rPr>
                <w:rFonts w:ascii="Times New Roman" w:hAnsi="Times New Roman"/>
                <w:sz w:val="24"/>
              </w:rPr>
              <w:t>інноваційності</w:t>
            </w:r>
            <w:proofErr w:type="spellEnd"/>
            <w:r w:rsidR="000E42EF" w:rsidRPr="000E42EF">
              <w:rPr>
                <w:rFonts w:ascii="Times New Roman" w:hAnsi="Times New Roman"/>
                <w:sz w:val="24"/>
              </w:rPr>
              <w:t xml:space="preserve"> бізнесу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AF0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AF052F" w:rsidRPr="00AF052F">
              <w:rPr>
                <w:rFonts w:ascii="Times New Roman" w:eastAsia="Times New Roman" w:hAnsi="Times New Roman"/>
                <w:sz w:val="24"/>
                <w:szCs w:val="24"/>
              </w:rPr>
              <w:t>Технології менеджменту знань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AF052F">
              <w:rPr>
                <w:rFonts w:ascii="Times New Roman" w:eastAsia="Times New Roman" w:hAnsi="Times New Roman"/>
                <w:sz w:val="24"/>
                <w:szCs w:val="24"/>
              </w:rPr>
              <w:t>нормативною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14C1">
              <w:rPr>
                <w:rFonts w:ascii="Times New Roman" w:hAnsi="Times New Roman"/>
              </w:rPr>
              <w:t>122</w:t>
            </w:r>
            <w:r w:rsidR="00A11C41" w:rsidRPr="00EC36D2">
              <w:rPr>
                <w:rFonts w:ascii="Times New Roman" w:hAnsi="Times New Roman"/>
              </w:rPr>
              <w:t xml:space="preserve"> «</w:t>
            </w:r>
            <w:r w:rsidR="005214C1" w:rsidRPr="005214C1">
              <w:rPr>
                <w:rFonts w:ascii="Times New Roman" w:hAnsi="Times New Roman"/>
              </w:rPr>
              <w:t>Комп’ютерні науки</w:t>
            </w:r>
            <w:r w:rsidR="00A11C41" w:rsidRPr="00EC36D2">
              <w:rPr>
                <w:rFonts w:ascii="Times New Roman" w:hAnsi="Times New Roman"/>
              </w:rPr>
              <w:t xml:space="preserve">» </w:t>
            </w:r>
            <w:r w:rsidR="007C0C64">
              <w:rPr>
                <w:rFonts w:ascii="Times New Roman" w:hAnsi="Times New Roman"/>
              </w:rPr>
              <w:t>освітньо</w:t>
            </w:r>
            <w:r w:rsidR="005214C1">
              <w:rPr>
                <w:rFonts w:ascii="Times New Roman" w:hAnsi="Times New Roman"/>
              </w:rPr>
              <w:t>-професійно</w:t>
            </w:r>
            <w:r w:rsidR="007C0C64">
              <w:rPr>
                <w:rFonts w:ascii="Times New Roman" w:hAnsi="Times New Roman"/>
              </w:rPr>
              <w:t>ї програми</w:t>
            </w:r>
            <w:r w:rsidR="00EF7D84" w:rsidRPr="00EC36D2">
              <w:rPr>
                <w:rFonts w:ascii="Times New Roman" w:hAnsi="Times New Roman"/>
              </w:rPr>
              <w:t xml:space="preserve"> «</w:t>
            </w:r>
            <w:r w:rsidR="005214C1" w:rsidRPr="005214C1">
              <w:rPr>
                <w:rFonts w:ascii="Times New Roman" w:hAnsi="Times New Roman"/>
              </w:rPr>
              <w:t>Консолідована інформація</w:t>
            </w:r>
            <w:r w:rsidR="00EF7D84" w:rsidRPr="00EC36D2">
              <w:rPr>
                <w:rFonts w:ascii="Times New Roman" w:hAnsi="Times New Roman"/>
              </w:rPr>
              <w:t>»</w:t>
            </w:r>
            <w:r w:rsidR="00EF7D84">
              <w:rPr>
                <w:rFonts w:ascii="Times New Roman" w:hAnsi="Times New Roman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5214C1">
              <w:rPr>
                <w:rFonts w:ascii="Times New Roman" w:eastAsia="Times New Roman" w:hAnsi="Times New Roman"/>
                <w:sz w:val="24"/>
                <w:szCs w:val="24"/>
              </w:rPr>
              <w:t>магістрів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AF05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9172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AF052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C9172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FB36CB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C91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AF052F" w:rsidRPr="00AF052F">
              <w:rPr>
                <w:rFonts w:ascii="Times New Roman" w:eastAsia="Times New Roman" w:hAnsi="Times New Roman"/>
                <w:sz w:val="24"/>
                <w:szCs w:val="24"/>
              </w:rPr>
              <w:t>Технології менеджменту знань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AF052F" w:rsidRPr="00AF052F">
              <w:rPr>
                <w:rFonts w:ascii="Times New Roman" w:eastAsia="Times New Roman" w:hAnsi="Times New Roman"/>
                <w:sz w:val="24"/>
                <w:szCs w:val="24"/>
              </w:rPr>
              <w:t>оволодіння студентами сучасними стратегіями, методами і інструментами ефективного управління знаннями в організаціях. Дисципліна дає основи теорії та практики в галузі розроблення інформаційних систем, які базуються на використанні та управлінні знаннями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2F" w:rsidRPr="00AF052F" w:rsidRDefault="00AF052F" w:rsidP="00AF052F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Офіційний сайт </w:t>
            </w:r>
            <w:proofErr w:type="spellStart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Protégé</w:t>
            </w:r>
            <w:proofErr w:type="spellEnd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[Електронний ресурс]. – Режим доступу: https://protege.stanford.edu</w:t>
            </w:r>
          </w:p>
          <w:p w:rsidR="00AF052F" w:rsidRPr="00AF052F" w:rsidRDefault="00AF052F" w:rsidP="00AF052F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Основи економічних експертних систем: </w:t>
            </w:r>
            <w:proofErr w:type="spellStart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/ О. </w:t>
            </w:r>
            <w:proofErr w:type="spellStart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Львів: Видавничий центр ЛНУ імені Івана Франка, 2009. – 238 с.</w:t>
            </w:r>
          </w:p>
          <w:p w:rsidR="00AF052F" w:rsidRPr="00AF052F" w:rsidRDefault="00AF052F" w:rsidP="00AF052F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Сявавко</w:t>
            </w:r>
            <w:proofErr w:type="spellEnd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М. Моделювання за умов невизначеності / М. </w:t>
            </w:r>
            <w:proofErr w:type="spellStart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Сявавко</w:t>
            </w:r>
            <w:proofErr w:type="spellEnd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О. </w:t>
            </w:r>
            <w:proofErr w:type="spellStart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Рибицька</w:t>
            </w:r>
            <w:proofErr w:type="spellEnd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Львів, Українські технології, 2000. – 319 с.</w:t>
            </w:r>
          </w:p>
          <w:p w:rsidR="00AF052F" w:rsidRPr="00AF052F" w:rsidRDefault="00AF052F" w:rsidP="00AF052F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Федонюк</w:t>
            </w:r>
            <w:proofErr w:type="spellEnd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С. Технології менеджменту знань і відкрите співробітництво: </w:t>
            </w:r>
            <w:proofErr w:type="spellStart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/ Сергій Валентинович </w:t>
            </w:r>
            <w:proofErr w:type="spellStart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Федонюк</w:t>
            </w:r>
            <w:proofErr w:type="spellEnd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Луцьк : Вежа-Друк, 2017. – 124 с.</w:t>
            </w:r>
          </w:p>
          <w:p w:rsidR="00AF052F" w:rsidRPr="00AF052F" w:rsidRDefault="00AF052F" w:rsidP="00AF052F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Литвин В. В. Технології менеджменту знань: </w:t>
            </w:r>
            <w:proofErr w:type="spellStart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посібник / В.В. Литвин; за </w:t>
            </w:r>
            <w:proofErr w:type="spellStart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ред. В.В. Пасічника. – Львів: Видавництво Львівської політехніки, 2010. – 260 с.</w:t>
            </w:r>
          </w:p>
          <w:p w:rsidR="00AF052F" w:rsidRPr="00AF052F" w:rsidRDefault="00AF052F" w:rsidP="00AF052F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Приймак В. Управління знаннями: Підручник /В. Приймак. – К.: Київський національний університет імені Тараса Шевченка, 2019. – 240 с.</w:t>
            </w:r>
          </w:p>
          <w:p w:rsidR="00AF052F" w:rsidRPr="00AF052F" w:rsidRDefault="00AF052F" w:rsidP="00AF052F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Офіційний сайт Schema.org [Електронний ресурс]. – Режим доступу: https://schema.org</w:t>
            </w:r>
          </w:p>
          <w:p w:rsidR="00B22568" w:rsidRPr="001B690F" w:rsidRDefault="00AF052F" w:rsidP="00AF052F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Офіційний сайт </w:t>
            </w:r>
            <w:proofErr w:type="spellStart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RapidMiner</w:t>
            </w:r>
            <w:proofErr w:type="spellEnd"/>
            <w:r w:rsidRPr="00AF0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[Електронний ресурс]. – Режим доступу:  https://rapidminer.com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1C7AA3" w:rsidP="00D45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7C0C64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4548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945F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D4548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D45484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4C01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2568" w:rsidRDefault="009B21A1" w:rsidP="00D4548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D45484" w:rsidRPr="00D45484">
              <w:rPr>
                <w:rFonts w:ascii="Times New Roman" w:eastAsia="Times New Roman" w:hAnsi="Times New Roman"/>
                <w:sz w:val="24"/>
                <w:szCs w:val="24"/>
              </w:rPr>
              <w:t>методи набуття знань, методи подання знань, методи класифікації і компіляції знань, методи інтелектуального аналізу даних</w:t>
            </w:r>
            <w:r w:rsidR="00D45484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D45484" w:rsidRPr="00D45484">
              <w:rPr>
                <w:rFonts w:ascii="Times New Roman" w:eastAsia="Times New Roman" w:hAnsi="Times New Roman"/>
                <w:sz w:val="24"/>
                <w:szCs w:val="24"/>
              </w:rPr>
              <w:t>стандарт онтологічного дослідження; техніку діаграм прецедентів, діаграм класів, діаграм об’єктів, діаграм послідовностей, діаграм кооперації, діаграм видів діяльності, діаграм взаємодії, у тому числі з використанням CASE-інструментарію; методологію об’єктно-орієнтованого аналізу і проектування, а також інструментальні CASE-засоби підтримки життєвого циклу програмного забезпечення</w:t>
            </w:r>
          </w:p>
          <w:p w:rsidR="00B22568" w:rsidRPr="006A6169" w:rsidRDefault="009B21A1" w:rsidP="00D4548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bookmarkStart w:id="0" w:name="_GoBack"/>
            <w:r w:rsidR="00D45484" w:rsidRPr="00D45484">
              <w:rPr>
                <w:rFonts w:ascii="Times New Roman" w:eastAsia="Times New Roman" w:hAnsi="Times New Roman"/>
                <w:sz w:val="24"/>
                <w:szCs w:val="24"/>
              </w:rPr>
              <w:t>працювати з експертними та текстологічними джерелами інформації для інтеграції даних і знань в області діяльності організації; інтерпретувати результати застосування методів інтелектуального аналізу даних для ідентифікації тенденцій розвитку процесів в організації та в економіці і підприємництві загалом</w:t>
            </w:r>
            <w:r w:rsidR="00D45484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D45484" w:rsidRPr="00D45484">
              <w:rPr>
                <w:rFonts w:ascii="Times New Roman" w:eastAsia="Times New Roman" w:hAnsi="Times New Roman"/>
                <w:sz w:val="24"/>
                <w:szCs w:val="24"/>
              </w:rPr>
              <w:t>проводити інтелектуальний аналіз даних; будувати зовнішні (контекстні) і внутрішні (об’єктні) моделі організаційної системи та схеми інформаційних і матеріальних потоків в організації, застосовуючи сучасні діаграмні техніки і стандарти, у тому числі з використанням CASE-інструментарію</w:t>
            </w:r>
            <w:bookmarkEnd w:id="0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750795" w:rsidP="00750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Менеджмент знань,</w:t>
            </w:r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>Data</w:t>
            </w:r>
            <w:proofErr w:type="spellEnd"/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>Text</w:t>
            </w:r>
            <w:proofErr w:type="spellEnd"/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нечіткі</w:t>
            </w:r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 xml:space="preserve"> множин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и, метод </w:t>
            </w:r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>групового врахування аргументів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алгоритми</w:t>
            </w:r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 xml:space="preserve"> пошуку асоціативних правил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>діаграм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 xml:space="preserve"> прецедентів, діаграм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 xml:space="preserve"> класів, діаграм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 xml:space="preserve"> об’єктів, діаграм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 xml:space="preserve"> послідовностей, діаграм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 xml:space="preserve"> кооперації, діаграм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 xml:space="preserve"> видів діяльності, діаграм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50795">
              <w:rPr>
                <w:rFonts w:ascii="Times New Roman" w:hAnsi="Times New Roman"/>
                <w:bCs/>
                <w:sz w:val="24"/>
                <w:szCs w:val="24"/>
              </w:rPr>
              <w:t xml:space="preserve"> взаємодії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6A6169" w:rsidRDefault="00750795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945F86" w:rsidP="007E3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86">
              <w:rPr>
                <w:rFonts w:ascii="Times New Roman" w:hAnsi="Times New Roman"/>
                <w:sz w:val="24"/>
                <w:szCs w:val="24"/>
              </w:rPr>
              <w:t xml:space="preserve">Вивчення дисципліни </w:t>
            </w:r>
            <w:r w:rsidR="00C91729">
              <w:rPr>
                <w:rFonts w:ascii="Times New Roman" w:hAnsi="Times New Roman"/>
                <w:sz w:val="24"/>
                <w:szCs w:val="24"/>
              </w:rPr>
              <w:t>«</w:t>
            </w:r>
            <w:r w:rsidR="007E33DD" w:rsidRPr="00AF052F">
              <w:rPr>
                <w:rFonts w:ascii="Times New Roman" w:eastAsia="Times New Roman" w:hAnsi="Times New Roman"/>
                <w:sz w:val="24"/>
                <w:szCs w:val="24"/>
              </w:rPr>
              <w:t>Технології менеджменту знань</w:t>
            </w:r>
            <w:r w:rsidR="00C91729">
              <w:rPr>
                <w:rFonts w:ascii="Times New Roman" w:hAnsi="Times New Roman"/>
                <w:sz w:val="24"/>
                <w:szCs w:val="24"/>
              </w:rPr>
              <w:t>»</w:t>
            </w:r>
            <w:r w:rsidRPr="00945F86">
              <w:rPr>
                <w:rFonts w:ascii="Times New Roman" w:hAnsi="Times New Roman"/>
                <w:sz w:val="24"/>
                <w:szCs w:val="24"/>
              </w:rPr>
              <w:t xml:space="preserve"> забезпечується отриманими знаннями з </w:t>
            </w:r>
            <w:r w:rsidR="007C0C64">
              <w:rPr>
                <w:rFonts w:ascii="Times New Roman" w:hAnsi="Times New Roman"/>
                <w:sz w:val="24"/>
                <w:szCs w:val="24"/>
              </w:rPr>
              <w:t>дисциплін:</w:t>
            </w:r>
            <w:r w:rsidR="00FB36CB" w:rsidRPr="00FB3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C64" w:rsidRPr="007C0C64">
              <w:rPr>
                <w:rFonts w:ascii="Times New Roman" w:hAnsi="Times New Roman"/>
                <w:sz w:val="24"/>
                <w:szCs w:val="24"/>
              </w:rPr>
              <w:t>«Інформаційні і комунікаційні технології», «</w:t>
            </w:r>
            <w:r w:rsidR="00C91729">
              <w:rPr>
                <w:rFonts w:ascii="Times New Roman" w:hAnsi="Times New Roman"/>
                <w:sz w:val="24"/>
                <w:szCs w:val="24"/>
              </w:rPr>
              <w:t>Організація баз даних і знань»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стемами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E33DD" w:rsidRDefault="00B22568" w:rsidP="006B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E33DD" w:rsidRPr="007E33DD">
              <w:rPr>
                <w:rFonts w:ascii="Times New Roman" w:hAnsi="Times New Roman"/>
                <w:bCs/>
                <w:sz w:val="24"/>
                <w:szCs w:val="24"/>
              </w:rPr>
              <w:t>RapidMiner</w:t>
            </w:r>
            <w:proofErr w:type="spellEnd"/>
            <w:r w:rsidR="007E33DD"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E33DD" w:rsidRPr="007E33DD">
              <w:rPr>
                <w:rFonts w:ascii="Times New Roman" w:hAnsi="Times New Roman"/>
                <w:bCs/>
                <w:sz w:val="24"/>
                <w:szCs w:val="24"/>
              </w:rPr>
              <w:t>Studio</w:t>
            </w:r>
            <w:proofErr w:type="spellEnd"/>
            <w:r w:rsidR="007E33DD"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E33DD" w:rsidRPr="007E33DD">
              <w:rPr>
                <w:rFonts w:ascii="Times New Roman" w:hAnsi="Times New Roman"/>
                <w:bCs/>
                <w:sz w:val="24"/>
                <w:szCs w:val="24"/>
              </w:rPr>
              <w:t>Educational</w:t>
            </w:r>
            <w:proofErr w:type="spellEnd"/>
            <w:r w:rsidR="0034202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E33DD" w:rsidRPr="007E33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Prot</w:t>
            </w:r>
            <w:proofErr w:type="spellEnd"/>
            <w:r w:rsidR="007E33DD" w:rsidRPr="007E33DD">
              <w:rPr>
                <w:rFonts w:ascii="Times New Roman" w:hAnsi="Times New Roman"/>
                <w:bCs/>
                <w:sz w:val="24"/>
                <w:szCs w:val="24"/>
              </w:rPr>
              <w:t>é</w:t>
            </w:r>
            <w:r w:rsidR="007E33DD" w:rsidRPr="007E33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="007E33DD" w:rsidRPr="007E33DD">
              <w:rPr>
                <w:rFonts w:ascii="Times New Roman" w:hAnsi="Times New Roman"/>
                <w:bCs/>
                <w:sz w:val="24"/>
                <w:szCs w:val="24"/>
              </w:rPr>
              <w:t>é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11" w:rsidRPr="002E5E0D" w:rsidRDefault="00412A11" w:rsidP="0041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412A11" w:rsidRPr="002E5E0D" w:rsidRDefault="00412A11" w:rsidP="0041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</w:t>
            </w:r>
          </w:p>
          <w:p w:rsidR="00412A11" w:rsidRDefault="00412A11" w:rsidP="0041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 максимальна кількість балів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</w:p>
          <w:p w:rsidR="00412A11" w:rsidRDefault="00412A11" w:rsidP="0041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 максимальна кількість балів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2E5E0D" w:rsidRDefault="00412A11" w:rsidP="0041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Підсумкова максимальна кількість балів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100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Виокремлюють такі методи автоматичного витягу знань з даних і текстів: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Парадокс експертизи: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Техніка репертуарних решіток належить до: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Метод вільних асоціацій належить до: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 спостережень за роботою експерта належить до: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Метод формування переліку понять належить до: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Проведення лекцій експертом належить до: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Data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- це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Класифікація (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Classification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) – це: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Кластеризація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Clustering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) – це: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Асоціація (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Associations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) – це: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Послідовність (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Sequence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), або послідовна асоціація (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sequential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association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) – це: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Задачі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Data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Задачі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Data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Задачі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Data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Аналіз "думок вголос" належить до: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Прогнозування (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Forecasti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g) – це: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Визначення відхилень (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Deviatio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Detection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), аналіз відхилень або викидів – це: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Оцінювання (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Estimation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) – це: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Аналіз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зв'язків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Link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Analysis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) – це: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Візуалізація (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Visualization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Graph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) – це: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Підбивання підсумків (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Summarization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) – це: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Text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– це: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– це: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Content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– це: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Usage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– це: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Статистичні методи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Data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поділяють на такі групи методів: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Анкетування належить до: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Structure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- це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Social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– це: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Кібернетичні методи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Data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поділяють на такі групи методів: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Кібернетичні методи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Data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поділяють на такі групи методів: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Діалог з експертом належить до: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Приклади систем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Data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Інтерв'ю з експертом належить до: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Приклади систем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Text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Метод сортування карток належить до: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Основні елементи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Text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Основні елементи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Text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Круглий стіл належить до: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Основні напрями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Мозковий штурм належить до: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До завдань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Social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Mining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відносять: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Експертні ігри належать до: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Якого типу функцій належності нечітких множин не існує: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Які типи функцій належності нечітких множин 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Дві нечіткі множини A і B базової множини X називають рівними, якщо: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Нечітка множина A є підмножиною нечіткої множини B, якщо: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Перетином двох нечітких множин A і B називають множину C з функцією належності: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Об'єднанням двох нечітких множин A і B називають множину C з функцією належності: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Нечітку множину D називають доповненням нечіткої множини A, якщо (функції належності нечітких множин задані на діапазоні [0; 1]):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Є такі методи модифікації нечіткої множини, яка описує висновок нечіткого логічного правила: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Є такі методи об'єднання (суперпозиції) модифікованих нечітких множин, які описують висновок нечіткого логічного правила: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Є такі методи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скаляризації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нечітких множин: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Метод визначення нечіткої імплікації (метод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-імплікації) формально описують так: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Метод визначення нечіткої імплікації (метод нечіткого розширення класичної імплікації) формально описують так: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Метод визначення нечіткої імплікації (метод нечіткої імплікації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Лукасевича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) формально описують так: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Задано імплікацію А→В. Значення істинності аргументів a=0 i b=0. Значення істинності класичної імплікації А→В дорівнює: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Задано імплікацію А→В. Значення істинності аргументів a=0 i b=1. Значення істинності класичної імплікації А→В дорівнює: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Задано імплікацію А→В. Значення істинності аргументів a=1 i b=0. Значення істинності класичної імплікації А→В дорівнює: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Задано імплікацію А→В. Значення істинності аргументів a=1 i b=1. Значення істинності класичної імплікації А→В дорівнює: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А→В. Значення істинності аргументів a=0 i b=0. Значення істинності нечіткої імплікації А→В, розрахованої на підставі формули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-імплікації, дорівнює: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А→В. Значення істинності аргументів a=0 i b=1. Значення істинності нечіткої імплікації А→В, розрахованої на підставі формули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-імплікації, дорівнює: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А→В. Значення істинності аргументів a=1 i b=0. Значення істинності нечіткої імплікації А→В, розрахованої на підставі формули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min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-імплікації, дорівнює: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Задано імплікацію А→В. Значення істинності аргументів a=1 i b=1. Значення істинності класичної імплікації А→В дорівнює: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Задано імплікацію А→В. Значення істинності аргументів a=0 i b=0. Значення істинності нечіткої імплікації А→В, розрахованої на підставі формули нечіткого розширення класичної імплікації, дорівнює: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Задано імплікацію А→В. Значення істинності аргументів a=0 i b=1. Значення істинності нечіткої імплікації А→В, розрахованої на підставі формули нечіткого розширення класичної імплікації, дорівнює: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Задано імплікацію А→В. Значення істинності аргументів a=1 i b=0. Значення істинності нечіткої імплікації А→В, розрахованої на підставі формули нечіткого розширення класичної імплікації, дорівнює: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Задано імплікацію А→В. Значення істинності аргументів a=1 i b=1. Значення істинності нечіткої імплікації А→В, розрахованої на підставі формули нечіткого розширення класичної імплікації, дорівнює: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А→В. Значення істинності аргументів a=0 i b=0. Значення істинності нечіткої імплікації А→В, </w:t>
            </w: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розрахованої на підставі формули нечіткої імплікації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Лукасевича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, дорівнює: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А→В. Значення істинності аргументів a=0 i b=1. Значення істинності нечіткої імплікації А→В, розрахованої на підставі формули нечіткої імплікації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Лукасевича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, дорівнює: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А→В. Значення істинності аргументів a=1 i b=0. Значення істинності нечіткої імплікації А→В, розрахованої на підставі формули нечіткої імплікації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Лукасевича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, дорівнює: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А→В. Значення істинності аргументів a=1 i b=1. Значення істинності нечіткої імплікації А→В, розрахованої на підставі формули нечіткої імплікації 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Лукасевича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, дорівнює: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Яких структур алгоритмів самоорганізації немає?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Які структури алгоритмів самоорганізації існують?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Головні принципи методу групового врахування аргументів: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Як елементарні класифікатори найчастіше вибирають: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Як критерій селекції найчастіше вибирають: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Вид часткових описів методу групового врахування аргументів: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Коефіцієнти моделі у методі групового врахування аргументів розраховують на підставі даних: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Якість побудованих моделей у методі групового врахування аргументів контролюють на підставі даних: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Метод групового врахування аргументів передбачає виконання: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В алгоритмах пошуку асоціативних правил показник Підтримка (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Support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) набору F розраховують як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В алгоритмах пошуку асоціативних правил показник Достовірність (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Confidence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) правила X=&gt;Y розраховують як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В алгоритмах пошуку асоціативних правил показник Поліпшення (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Improvement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) чи Підйом (</w:t>
            </w: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Lift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) правила X=&gt;Y розраховують як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Секвенційний</w:t>
            </w:r>
            <w:proofErr w:type="spellEnd"/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 xml:space="preserve"> аналіз виявляє закономірності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Результат генерації асоціативних правил із знайдених частих наборів об'єктів подають як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В алгоритмах пошуку асоціативних правил корисні правила - це правила, які</w:t>
            </w:r>
          </w:p>
          <w:p w:rsidR="007E33DD" w:rsidRPr="007E33DD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В алгоритмах пошуку асоціативних правил тривіальні правила - це правила, які</w:t>
            </w:r>
          </w:p>
          <w:p w:rsidR="00B22568" w:rsidRPr="00CD1ED5" w:rsidRDefault="007E33DD" w:rsidP="007E33DD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0" w:firstLine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3DD">
              <w:rPr>
                <w:rFonts w:ascii="Times New Roman" w:hAnsi="Times New Roman"/>
                <w:bCs/>
                <w:sz w:val="24"/>
                <w:szCs w:val="24"/>
              </w:rPr>
              <w:t>В алгоритмах пошуку асоціативних правил незрозумілі правила - це правила, які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B225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A2E27B6"/>
    <w:multiLevelType w:val="hybridMultilevel"/>
    <w:tmpl w:val="5AE6A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21679"/>
    <w:multiLevelType w:val="hybridMultilevel"/>
    <w:tmpl w:val="C1D45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098E"/>
    <w:multiLevelType w:val="hybridMultilevel"/>
    <w:tmpl w:val="84CE6E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367AE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F052D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55053"/>
    <w:multiLevelType w:val="hybridMultilevel"/>
    <w:tmpl w:val="51824A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3D45FA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0"/>
  </w:num>
  <w:num w:numId="4">
    <w:abstractNumId w:val="24"/>
  </w:num>
  <w:num w:numId="5">
    <w:abstractNumId w:val="24"/>
  </w:num>
  <w:num w:numId="6">
    <w:abstractNumId w:val="32"/>
  </w:num>
  <w:num w:numId="7">
    <w:abstractNumId w:val="13"/>
  </w:num>
  <w:num w:numId="8">
    <w:abstractNumId w:val="28"/>
  </w:num>
  <w:num w:numId="9">
    <w:abstractNumId w:val="8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17"/>
  </w:num>
  <w:num w:numId="15">
    <w:abstractNumId w:val="33"/>
  </w:num>
  <w:num w:numId="16">
    <w:abstractNumId w:val="18"/>
  </w:num>
  <w:num w:numId="17">
    <w:abstractNumId w:val="27"/>
  </w:num>
  <w:num w:numId="18">
    <w:abstractNumId w:val="14"/>
  </w:num>
  <w:num w:numId="19">
    <w:abstractNumId w:val="5"/>
  </w:num>
  <w:num w:numId="20">
    <w:abstractNumId w:val="20"/>
  </w:num>
  <w:num w:numId="21">
    <w:abstractNumId w:val="30"/>
  </w:num>
  <w:num w:numId="22">
    <w:abstractNumId w:val="34"/>
  </w:num>
  <w:num w:numId="23">
    <w:abstractNumId w:val="4"/>
  </w:num>
  <w:num w:numId="24">
    <w:abstractNumId w:val="7"/>
  </w:num>
  <w:num w:numId="25">
    <w:abstractNumId w:val="29"/>
  </w:num>
  <w:num w:numId="26">
    <w:abstractNumId w:val="12"/>
  </w:num>
  <w:num w:numId="27">
    <w:abstractNumId w:val="21"/>
  </w:num>
  <w:num w:numId="28">
    <w:abstractNumId w:val="31"/>
  </w:num>
  <w:num w:numId="29">
    <w:abstractNumId w:val="9"/>
  </w:num>
  <w:num w:numId="30">
    <w:abstractNumId w:val="35"/>
  </w:num>
  <w:num w:numId="31">
    <w:abstractNumId w:val="26"/>
  </w:num>
  <w:num w:numId="32">
    <w:abstractNumId w:val="3"/>
  </w:num>
  <w:num w:numId="33">
    <w:abstractNumId w:val="10"/>
  </w:num>
  <w:num w:numId="34">
    <w:abstractNumId w:val="11"/>
  </w:num>
  <w:num w:numId="35">
    <w:abstractNumId w:val="1"/>
  </w:num>
  <w:num w:numId="36">
    <w:abstractNumId w:val="25"/>
  </w:num>
  <w:num w:numId="37">
    <w:abstractNumId w:val="22"/>
  </w:num>
  <w:num w:numId="38">
    <w:abstractNumId w:val="1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788D"/>
    <w:rsid w:val="00012D9F"/>
    <w:rsid w:val="00075261"/>
    <w:rsid w:val="00080AC7"/>
    <w:rsid w:val="00085521"/>
    <w:rsid w:val="000A40E9"/>
    <w:rsid w:val="000A6FA4"/>
    <w:rsid w:val="000E2955"/>
    <w:rsid w:val="000E42EF"/>
    <w:rsid w:val="000F00B2"/>
    <w:rsid w:val="00100A0B"/>
    <w:rsid w:val="00112A78"/>
    <w:rsid w:val="00143906"/>
    <w:rsid w:val="001670CD"/>
    <w:rsid w:val="001679F6"/>
    <w:rsid w:val="00195508"/>
    <w:rsid w:val="00197BEE"/>
    <w:rsid w:val="001A680F"/>
    <w:rsid w:val="001B690F"/>
    <w:rsid w:val="001C7AA3"/>
    <w:rsid w:val="001E749A"/>
    <w:rsid w:val="001F3C10"/>
    <w:rsid w:val="001F622D"/>
    <w:rsid w:val="00222E21"/>
    <w:rsid w:val="00236BF2"/>
    <w:rsid w:val="00253D8C"/>
    <w:rsid w:val="00255C02"/>
    <w:rsid w:val="00287310"/>
    <w:rsid w:val="002A338E"/>
    <w:rsid w:val="002A56D4"/>
    <w:rsid w:val="002B1EAD"/>
    <w:rsid w:val="002B4C54"/>
    <w:rsid w:val="002C0E4D"/>
    <w:rsid w:val="002C62A4"/>
    <w:rsid w:val="002E5E0D"/>
    <w:rsid w:val="002F1304"/>
    <w:rsid w:val="00301AE1"/>
    <w:rsid w:val="00315A00"/>
    <w:rsid w:val="0034202B"/>
    <w:rsid w:val="00345EC0"/>
    <w:rsid w:val="00377D6A"/>
    <w:rsid w:val="00383830"/>
    <w:rsid w:val="00386C41"/>
    <w:rsid w:val="003B2E08"/>
    <w:rsid w:val="003B68D6"/>
    <w:rsid w:val="003C6E7D"/>
    <w:rsid w:val="003F7C6A"/>
    <w:rsid w:val="00412A11"/>
    <w:rsid w:val="00416C85"/>
    <w:rsid w:val="004525D9"/>
    <w:rsid w:val="00456849"/>
    <w:rsid w:val="00473FB2"/>
    <w:rsid w:val="0048677E"/>
    <w:rsid w:val="00486BAA"/>
    <w:rsid w:val="004A2585"/>
    <w:rsid w:val="004C01FE"/>
    <w:rsid w:val="004D31CC"/>
    <w:rsid w:val="004F5ADA"/>
    <w:rsid w:val="00516AC9"/>
    <w:rsid w:val="005214C1"/>
    <w:rsid w:val="005521DB"/>
    <w:rsid w:val="0056379A"/>
    <w:rsid w:val="005840F1"/>
    <w:rsid w:val="005849D4"/>
    <w:rsid w:val="00585A79"/>
    <w:rsid w:val="005B5EFE"/>
    <w:rsid w:val="005C4180"/>
    <w:rsid w:val="005C4633"/>
    <w:rsid w:val="005F64A5"/>
    <w:rsid w:val="00601BE1"/>
    <w:rsid w:val="00640C8F"/>
    <w:rsid w:val="00650975"/>
    <w:rsid w:val="006523AB"/>
    <w:rsid w:val="006552D5"/>
    <w:rsid w:val="00671963"/>
    <w:rsid w:val="006756BD"/>
    <w:rsid w:val="006824B6"/>
    <w:rsid w:val="00685482"/>
    <w:rsid w:val="006905A4"/>
    <w:rsid w:val="006909DB"/>
    <w:rsid w:val="006A11EE"/>
    <w:rsid w:val="006A4FF0"/>
    <w:rsid w:val="006A5F4B"/>
    <w:rsid w:val="006B0215"/>
    <w:rsid w:val="006B3B2C"/>
    <w:rsid w:val="006B694C"/>
    <w:rsid w:val="006D4410"/>
    <w:rsid w:val="006E2504"/>
    <w:rsid w:val="006E3277"/>
    <w:rsid w:val="0070119C"/>
    <w:rsid w:val="00715410"/>
    <w:rsid w:val="0072492F"/>
    <w:rsid w:val="00750795"/>
    <w:rsid w:val="00750EAE"/>
    <w:rsid w:val="00764CD7"/>
    <w:rsid w:val="007746FC"/>
    <w:rsid w:val="00786DFA"/>
    <w:rsid w:val="007938F9"/>
    <w:rsid w:val="00793E76"/>
    <w:rsid w:val="007A2F63"/>
    <w:rsid w:val="007B3735"/>
    <w:rsid w:val="007C0C64"/>
    <w:rsid w:val="007D0443"/>
    <w:rsid w:val="007D7230"/>
    <w:rsid w:val="007E268A"/>
    <w:rsid w:val="007E334A"/>
    <w:rsid w:val="007E33DD"/>
    <w:rsid w:val="00813101"/>
    <w:rsid w:val="00826A59"/>
    <w:rsid w:val="0085633D"/>
    <w:rsid w:val="00864455"/>
    <w:rsid w:val="00870953"/>
    <w:rsid w:val="008924C5"/>
    <w:rsid w:val="00896117"/>
    <w:rsid w:val="008A43A5"/>
    <w:rsid w:val="008A4639"/>
    <w:rsid w:val="008B3981"/>
    <w:rsid w:val="008D4B5E"/>
    <w:rsid w:val="008D6C8D"/>
    <w:rsid w:val="0091555E"/>
    <w:rsid w:val="009249FD"/>
    <w:rsid w:val="0094526D"/>
    <w:rsid w:val="00945F86"/>
    <w:rsid w:val="0094793F"/>
    <w:rsid w:val="00947AAE"/>
    <w:rsid w:val="0095225B"/>
    <w:rsid w:val="0096300A"/>
    <w:rsid w:val="009641E9"/>
    <w:rsid w:val="00971F64"/>
    <w:rsid w:val="009804C4"/>
    <w:rsid w:val="009807EE"/>
    <w:rsid w:val="00986503"/>
    <w:rsid w:val="009901D8"/>
    <w:rsid w:val="009B21A1"/>
    <w:rsid w:val="009B2495"/>
    <w:rsid w:val="009D6793"/>
    <w:rsid w:val="009D737A"/>
    <w:rsid w:val="00A11C41"/>
    <w:rsid w:val="00A20DD3"/>
    <w:rsid w:val="00A61D71"/>
    <w:rsid w:val="00A773CF"/>
    <w:rsid w:val="00A86D71"/>
    <w:rsid w:val="00A9716B"/>
    <w:rsid w:val="00AB1056"/>
    <w:rsid w:val="00AB6BBA"/>
    <w:rsid w:val="00AC272B"/>
    <w:rsid w:val="00AD6E03"/>
    <w:rsid w:val="00AD70AD"/>
    <w:rsid w:val="00AF052F"/>
    <w:rsid w:val="00B22568"/>
    <w:rsid w:val="00B533D5"/>
    <w:rsid w:val="00BB3926"/>
    <w:rsid w:val="00BD2E61"/>
    <w:rsid w:val="00BF339A"/>
    <w:rsid w:val="00C00FA4"/>
    <w:rsid w:val="00C31328"/>
    <w:rsid w:val="00C32B35"/>
    <w:rsid w:val="00C3667A"/>
    <w:rsid w:val="00C41A59"/>
    <w:rsid w:val="00C52966"/>
    <w:rsid w:val="00C5445E"/>
    <w:rsid w:val="00C75571"/>
    <w:rsid w:val="00C866F0"/>
    <w:rsid w:val="00C91729"/>
    <w:rsid w:val="00CA5E86"/>
    <w:rsid w:val="00CB0F1A"/>
    <w:rsid w:val="00CD1ED5"/>
    <w:rsid w:val="00CE3518"/>
    <w:rsid w:val="00CF16F2"/>
    <w:rsid w:val="00CF678C"/>
    <w:rsid w:val="00D07B99"/>
    <w:rsid w:val="00D17ECA"/>
    <w:rsid w:val="00D2557E"/>
    <w:rsid w:val="00D32E60"/>
    <w:rsid w:val="00D4365A"/>
    <w:rsid w:val="00D45484"/>
    <w:rsid w:val="00D5247A"/>
    <w:rsid w:val="00D62907"/>
    <w:rsid w:val="00D74DD1"/>
    <w:rsid w:val="00D76FDF"/>
    <w:rsid w:val="00D84C68"/>
    <w:rsid w:val="00DA2A58"/>
    <w:rsid w:val="00DC123C"/>
    <w:rsid w:val="00DC557D"/>
    <w:rsid w:val="00E04FC2"/>
    <w:rsid w:val="00E32151"/>
    <w:rsid w:val="00E3575C"/>
    <w:rsid w:val="00E77CFB"/>
    <w:rsid w:val="00E90ABA"/>
    <w:rsid w:val="00E923E2"/>
    <w:rsid w:val="00EC36D2"/>
    <w:rsid w:val="00EE648F"/>
    <w:rsid w:val="00EF7D84"/>
    <w:rsid w:val="00F04DC8"/>
    <w:rsid w:val="00F05E4F"/>
    <w:rsid w:val="00F2116D"/>
    <w:rsid w:val="00F23A01"/>
    <w:rsid w:val="00F359A7"/>
    <w:rsid w:val="00F40B7A"/>
    <w:rsid w:val="00F50F95"/>
    <w:rsid w:val="00F60E6E"/>
    <w:rsid w:val="00F67152"/>
    <w:rsid w:val="00F73FBD"/>
    <w:rsid w:val="00F814F3"/>
    <w:rsid w:val="00FA04FC"/>
    <w:rsid w:val="00FB36CB"/>
    <w:rsid w:val="00FC0135"/>
    <w:rsid w:val="00FC65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47E7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00788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07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6</Pages>
  <Words>8100</Words>
  <Characters>4618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205</cp:revision>
  <dcterms:created xsi:type="dcterms:W3CDTF">2020-09-21T21:44:00Z</dcterms:created>
  <dcterms:modified xsi:type="dcterms:W3CDTF">2024-03-05T21:01:00Z</dcterms:modified>
</cp:coreProperties>
</file>